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湛江经开区党政办公室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2022年度部门整体支出绩效自评报告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p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根据《关于开展2023年区级财政资金绩效自评工作的通知》（湛开财〔2023〕291号）要求，我办及时组织开展自评工作。成立自评小组，明确分工，落实责任，认真开展核实自评工作。经查阅、核实相关账务、报表、凭证，填写自评表，形成本评价报告。现将湛江经开区党政办公室2022年度部门整体支出自我绩效评价报告如下：</w:t>
      </w:r>
    </w:p>
    <w:p>
      <w:pPr>
        <w:spacing w:line="360" w:lineRule="auto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一、单位基本情况</w:t>
      </w:r>
    </w:p>
    <w:p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一）主要职能：党政办公室主要负责区党委、管委会日常党务、政务的协调、督办工作。根据党委、管委会的决定，起草各类文稿，处理各类文件、文书；负责区党委、管委会议、主任办公会议、工作会议等安排、记录、纪要等工作。检查督促各项决议、决定、重要工作部署和领导重要批示的贯彻执行和协调处理。负责研究起草区的管理规定、决策调研、综合信息，参与重大决策的辅助工作，提供决策参考和咨询意见。负责区对外联络及接待工作。指导、协调和组织全区应急管理工作。负责落实中心组学习制度，全区的对外宣传和新闻信息工作；统筹全区精神文明建设和指导全区文化工作，负责指导督促全区政务公开工作。负责区党史、地方志工作。负责落实党的统战政策，做好统一战线、对台、宗教和工商联工作。负责对本区出台文件的规范性、合法性的审核；负责办理行政复议案件和行政应诉案件；负责行政赔偿的协调；负责行政执法人员的培训考核、资格认定；协调区内各职能部门的行政审批事项。负责机要、保密、总工会、妇联、共青团、应急管理工作。承办区党委、管委会和上级有关部门交办的其他事项。</w:t>
      </w:r>
    </w:p>
    <w:p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）机构情况：湛江市经济技术开发区党政办公室是根据广东省机构编制委员会《关于印发湛江市政府派出机构设置和调整事业单位隶属关系的批复》（粤机编办〔2009〕353号）精神设立的，为湛江经济技术开发区工作部门。根据区编委《关于印发〈湛江经济技术开发区党政办公室主要职责内设机构和人员编制规定〉的通知》（湛开机编〔2010〕2号）和区编办《关于成立湛江经济技术开发区新闻中心的通知》（湛开编办〔2013〕53号）的通知，党政办公室内设15个科室（部门）：综合科、秘书科 、政研室、法制科、宣传科、督查科、机要科、统战科、区总工会、团区委、区妇联、档案局、信息办、新闻中心、大数据管理中心。</w:t>
      </w:r>
    </w:p>
    <w:p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（三）人员情况： 本部门无下属单位，部门预算为本级预算。人员情况：党政办单位共有编制65人，其中行政编制31人，参公管理事业编制13人，事业编制16人，工勤编制5 人。现实有人员53人，其中行政编制29人，参公管理事业编制7人，事业编制18人，工勤编制6 人。退休31人。</w:t>
      </w:r>
    </w:p>
    <w:p>
      <w:pPr>
        <w:spacing w:line="360" w:lineRule="auto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二、自评工作情况</w:t>
      </w:r>
    </w:p>
    <w:p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（一）评价小组情况。</w:t>
      </w:r>
    </w:p>
    <w:p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为确保我办绩效自评工作顺利开展，贯彻落实各级有关全面实施预算绩效管理的部署，结合我办根据实际情况，成立经开区党政办公室整体支出绩效自评工作小组，人员组成如下：</w:t>
      </w:r>
    </w:p>
    <w:p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长：张宏滨</w:t>
      </w:r>
    </w:p>
    <w:p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副组长：戚照</w:t>
      </w:r>
    </w:p>
    <w:p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  员：赖海虹、程杰、林莎莎</w:t>
      </w:r>
    </w:p>
    <w:p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自评工作小组组长负责领导2022年度我办部门整体支出自我绩效评价全面工作；副组长负责指导2022年度我办部门整体支出自我绩效评价开展工作；成员程杰负责对本单位自评结果进行检查、审核，并撰写本部门整体支出自评报告；成员赖海虹、林莎莎负责进行整理、分析绩效评价的相关资料。</w:t>
      </w:r>
    </w:p>
    <w:p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（二）自评工作情况。</w:t>
      </w:r>
    </w:p>
    <w:p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我办为做好2022年整体支出绩效自评工作，及时成立了经开区党政办公室整体支出绩效自评工作小组。切实落实预算管理主体责任，增强绩效管理意识，将绩效管理融入业务管理和预算资金管理的全过程；部署工作任务，落实责任到人，小组成员根据评价相关指标查阅、核对账务数据，并进行统计汇总数据。绩效评价工作小组根据相关账务、报表、凭证等佐证资料，填写自评表，对总体绩效目标、项目绩效指标完成情况，预算执行管理情况及成果效益等进行分析，按自评内容要求着重分析预算编制执行及调整、资产管理、项目资金绩效完成情况，社会效益等内容，并对绩效评价打分。经过分析评价，我办2022年部门财政支出绩效自评综合得分为99分。</w:t>
      </w:r>
    </w:p>
    <w:p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（三）自评材料报送时间及质量。</w:t>
      </w:r>
    </w:p>
    <w:p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我办严格按照工作要求，严谨地对整体支出填报绩效自评数据表、整体支出绩效评价评分表等自评材料。我办对所报送自评材料真实性、完整性、一致性负责。</w:t>
      </w:r>
    </w:p>
    <w:p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（四）自评材料报送及公开一致情况。</w:t>
      </w:r>
    </w:p>
    <w:p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我办所报送的自评报告、数据表符合对外公开标准，保证对外公开数据与上报数据的一致性，并按区财政局统一要求对外公开。</w:t>
      </w:r>
    </w:p>
    <w:p>
      <w:pPr>
        <w:spacing w:line="360" w:lineRule="auto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三、预算编制情况</w:t>
      </w:r>
    </w:p>
    <w:p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（一）目标设置</w:t>
      </w:r>
    </w:p>
    <w:p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1.绩效目标申报情况。</w:t>
      </w:r>
    </w:p>
    <w:p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因我办为党委、管委综合性协调部门，当年未申报项目绩效。</w:t>
      </w:r>
    </w:p>
    <w:p>
      <w:pPr>
        <w:numPr>
          <w:ilvl w:val="0"/>
          <w:numId w:val="1"/>
        </w:num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整体支出绩效目标。</w:t>
      </w:r>
    </w:p>
    <w:p>
      <w:pPr>
        <w:numPr>
          <w:ilvl w:val="0"/>
          <w:numId w:val="0"/>
        </w:num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(1)绩效总目标。在区党委、管委会的坚强领导下，区党政办紧紧围绕全区中心工作、服务大局，充分发挥中枢职能作用，积极推动中央、省、市和区党委、管委会各项决策部署有效落实，“三服务”工作取得新进步。</w:t>
      </w:r>
    </w:p>
    <w:p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(2)阶段性（当年）绩效目标。我办无跨年度完成工作（项目）所设置的绩效目标。</w:t>
      </w:r>
    </w:p>
    <w:p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（二）预算编制合理性。预算编制符合我办职责、符合区党委、管委的方针政策和工作要求，编制项目资金预算能按照轻重缓急原则，结合实际，深入调研，精准测算，编实编细各类项目预算。</w:t>
      </w:r>
    </w:p>
    <w:p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（三）预算编制规范性。预算编制符合区财政当年度有关预算编制的原则，符合专项资金预算编制和项目库管理要求。</w:t>
      </w:r>
    </w:p>
    <w:p>
      <w:pPr>
        <w:snapToGrid w:val="0"/>
        <w:spacing w:line="520" w:lineRule="exact"/>
        <w:ind w:firstLine="603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0"/>
          <w:sz w:val="32"/>
          <w:szCs w:val="32"/>
        </w:rPr>
        <w:t>四、</w:t>
      </w:r>
      <w:r>
        <w:rPr>
          <w:rFonts w:hint="eastAsia" w:ascii="黑体" w:hAnsi="黑体" w:eastAsia="黑体"/>
          <w:sz w:val="32"/>
          <w:szCs w:val="32"/>
        </w:rPr>
        <w:t>收支预算执行情况分析</w:t>
      </w:r>
    </w:p>
    <w:p>
      <w:pPr>
        <w:spacing w:before="215" w:line="222" w:lineRule="auto"/>
        <w:ind w:left="664"/>
        <w:outlineLvl w:val="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（一）收入支出预算安排情况</w:t>
      </w:r>
    </w:p>
    <w:p>
      <w:pPr>
        <w:pStyle w:val="2"/>
      </w:pPr>
    </w:p>
    <w:p>
      <w:pPr>
        <w:spacing w:before="223" w:line="600" w:lineRule="exact"/>
        <w:ind w:left="829"/>
        <w:rPr>
          <w:rFonts w:ascii="仿宋" w:hAnsi="仿宋" w:eastAsia="仿宋" w:cs="仿宋"/>
          <w:spacing w:val="18"/>
          <w:position w:val="20"/>
          <w:sz w:val="32"/>
          <w:szCs w:val="32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-50800</wp:posOffset>
            </wp:positionH>
            <wp:positionV relativeFrom="paragraph">
              <wp:posOffset>295275</wp:posOffset>
            </wp:positionV>
            <wp:extent cx="4999355" cy="3175000"/>
            <wp:effectExtent l="4445" t="4445" r="6350" b="20955"/>
            <wp:wrapTight wrapText="bothSides">
              <wp:wrapPolygon>
                <wp:start x="-19" y="-30"/>
                <wp:lineTo x="-19" y="21483"/>
                <wp:lineTo x="21545" y="21483"/>
                <wp:lineTo x="21545" y="-30"/>
                <wp:lineTo x="-19" y="-30"/>
              </wp:wrapPolygon>
            </wp:wrapTight>
            <wp:docPr id="1" name="图表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</w:p>
    <w:p>
      <w:pPr>
        <w:spacing w:before="223" w:line="600" w:lineRule="exact"/>
        <w:ind w:left="829"/>
        <w:rPr>
          <w:rFonts w:ascii="仿宋" w:hAnsi="仿宋" w:eastAsia="仿宋" w:cs="仿宋"/>
          <w:spacing w:val="18"/>
          <w:position w:val="20"/>
          <w:sz w:val="32"/>
          <w:szCs w:val="32"/>
        </w:rPr>
      </w:pPr>
    </w:p>
    <w:p>
      <w:pPr>
        <w:spacing w:before="223" w:line="600" w:lineRule="exact"/>
        <w:ind w:left="829"/>
        <w:rPr>
          <w:rFonts w:ascii="仿宋" w:hAnsi="仿宋" w:eastAsia="仿宋" w:cs="仿宋"/>
          <w:spacing w:val="18"/>
          <w:position w:val="20"/>
          <w:sz w:val="32"/>
          <w:szCs w:val="32"/>
        </w:rPr>
      </w:pPr>
    </w:p>
    <w:p>
      <w:pPr>
        <w:spacing w:before="223" w:line="600" w:lineRule="exact"/>
        <w:ind w:left="829"/>
        <w:rPr>
          <w:rFonts w:ascii="仿宋" w:hAnsi="仿宋" w:eastAsia="仿宋" w:cs="仿宋"/>
          <w:spacing w:val="18"/>
          <w:position w:val="20"/>
          <w:sz w:val="32"/>
          <w:szCs w:val="32"/>
        </w:rPr>
      </w:pPr>
    </w:p>
    <w:p>
      <w:pPr>
        <w:pStyle w:val="2"/>
        <w:rPr>
          <w:rFonts w:ascii="仿宋" w:hAnsi="仿宋" w:eastAsia="仿宋" w:cs="仿宋"/>
          <w:spacing w:val="18"/>
          <w:position w:val="20"/>
          <w:sz w:val="32"/>
          <w:szCs w:val="32"/>
        </w:rPr>
      </w:pPr>
    </w:p>
    <w:p>
      <w:pPr>
        <w:pStyle w:val="2"/>
        <w:rPr>
          <w:rFonts w:ascii="仿宋" w:hAnsi="仿宋" w:eastAsia="仿宋" w:cs="仿宋"/>
          <w:spacing w:val="18"/>
          <w:position w:val="20"/>
          <w:sz w:val="32"/>
          <w:szCs w:val="32"/>
        </w:rPr>
      </w:pPr>
    </w:p>
    <w:p>
      <w:pPr>
        <w:pStyle w:val="2"/>
        <w:rPr>
          <w:rFonts w:ascii="仿宋" w:hAnsi="仿宋" w:eastAsia="仿宋" w:cs="仿宋"/>
          <w:spacing w:val="18"/>
          <w:position w:val="20"/>
          <w:sz w:val="32"/>
          <w:szCs w:val="32"/>
        </w:rPr>
      </w:pPr>
    </w:p>
    <w:tbl>
      <w:tblPr>
        <w:tblStyle w:val="6"/>
        <w:tblpPr w:leftFromText="180" w:rightFromText="180" w:vertAnchor="text" w:horzAnchor="page" w:tblpX="2800" w:tblpY="142"/>
        <w:tblOverlap w:val="never"/>
        <w:tblW w:w="58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0"/>
        <w:gridCol w:w="1946"/>
        <w:gridCol w:w="16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0" w:hRule="atLeast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收支预算对比表         单位：元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Style w:val="10"/>
                <w:lang w:val="en-US" w:eastAsia="zh-CN" w:bidi="ar"/>
              </w:rPr>
              <w:t>年度收支预算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32,558,600.00</w:t>
            </w:r>
          </w:p>
        </w:tc>
        <w:tc>
          <w:tcPr>
            <w:tcW w:w="16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根据中央过“紧日子”的精神，压减工作经费。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Style w:val="10"/>
                <w:lang w:val="en-US" w:eastAsia="zh-CN" w:bidi="ar"/>
              </w:rPr>
              <w:t>年度收支预算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32,351,100.00</w:t>
            </w:r>
          </w:p>
        </w:tc>
        <w:tc>
          <w:tcPr>
            <w:tcW w:w="16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2"/>
        <w:rPr>
          <w:rFonts w:ascii="仿宋" w:hAnsi="仿宋" w:eastAsia="仿宋" w:cs="仿宋"/>
          <w:spacing w:val="18"/>
          <w:position w:val="20"/>
          <w:sz w:val="32"/>
          <w:szCs w:val="32"/>
        </w:rPr>
      </w:pPr>
    </w:p>
    <w:p>
      <w:pPr>
        <w:pStyle w:val="2"/>
        <w:rPr>
          <w:rFonts w:ascii="仿宋" w:hAnsi="仿宋" w:eastAsia="仿宋" w:cs="仿宋"/>
          <w:spacing w:val="18"/>
          <w:position w:val="20"/>
          <w:sz w:val="32"/>
          <w:szCs w:val="32"/>
        </w:rPr>
      </w:pPr>
    </w:p>
    <w:p>
      <w:pPr>
        <w:pStyle w:val="2"/>
        <w:rPr>
          <w:rFonts w:ascii="仿宋" w:hAnsi="仿宋" w:eastAsia="仿宋" w:cs="仿宋"/>
          <w:spacing w:val="18"/>
          <w:position w:val="20"/>
          <w:sz w:val="32"/>
          <w:szCs w:val="32"/>
        </w:rPr>
      </w:pPr>
    </w:p>
    <w:p>
      <w:pPr>
        <w:numPr>
          <w:ilvl w:val="0"/>
          <w:numId w:val="0"/>
        </w:numPr>
        <w:snapToGrid w:val="0"/>
        <w:spacing w:line="520" w:lineRule="exact"/>
        <w:ind w:left="840" w:leftChars="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收入支出预算执行情况。</w:t>
      </w:r>
    </w:p>
    <w:p>
      <w:pPr>
        <w:pStyle w:val="2"/>
        <w:rPr>
          <w:rFonts w:ascii="仿宋" w:hAnsi="仿宋" w:eastAsia="仿宋" w:cs="仿宋"/>
          <w:spacing w:val="18"/>
          <w:position w:val="20"/>
          <w:sz w:val="32"/>
          <w:szCs w:val="32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109220</wp:posOffset>
            </wp:positionH>
            <wp:positionV relativeFrom="paragraph">
              <wp:posOffset>261620</wp:posOffset>
            </wp:positionV>
            <wp:extent cx="4486275" cy="2743200"/>
            <wp:effectExtent l="4445" t="4445" r="5080" b="14605"/>
            <wp:wrapTight wrapText="bothSides">
              <wp:wrapPolygon>
                <wp:start x="-21" y="-35"/>
                <wp:lineTo x="-21" y="21565"/>
                <wp:lineTo x="21533" y="21565"/>
                <wp:lineTo x="21533" y="-35"/>
                <wp:lineTo x="-21" y="-35"/>
              </wp:wrapPolygon>
            </wp:wrapTight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>
      <w:pPr>
        <w:pStyle w:val="2"/>
        <w:rPr>
          <w:rFonts w:ascii="仿宋" w:hAnsi="仿宋" w:eastAsia="仿宋" w:cs="仿宋"/>
          <w:spacing w:val="18"/>
          <w:position w:val="20"/>
          <w:sz w:val="32"/>
          <w:szCs w:val="32"/>
        </w:rPr>
      </w:pPr>
    </w:p>
    <w:p>
      <w:pPr>
        <w:spacing w:before="223" w:line="600" w:lineRule="exact"/>
        <w:ind w:left="829"/>
        <w:rPr>
          <w:rFonts w:ascii="仿宋" w:hAnsi="仿宋" w:eastAsia="仿宋" w:cs="仿宋"/>
          <w:spacing w:val="18"/>
          <w:position w:val="20"/>
          <w:sz w:val="32"/>
          <w:szCs w:val="32"/>
        </w:rPr>
      </w:pPr>
    </w:p>
    <w:p>
      <w:pPr>
        <w:spacing w:before="223" w:line="600" w:lineRule="exact"/>
        <w:ind w:left="829"/>
        <w:rPr>
          <w:rFonts w:ascii="仿宋" w:hAnsi="仿宋" w:eastAsia="仿宋" w:cs="仿宋"/>
          <w:spacing w:val="18"/>
          <w:position w:val="20"/>
          <w:sz w:val="32"/>
          <w:szCs w:val="32"/>
        </w:rPr>
      </w:pPr>
    </w:p>
    <w:p>
      <w:pPr>
        <w:spacing w:before="223" w:line="600" w:lineRule="exact"/>
        <w:ind w:left="829"/>
        <w:rPr>
          <w:rFonts w:ascii="仿宋" w:hAnsi="仿宋" w:eastAsia="仿宋" w:cs="仿宋"/>
          <w:spacing w:val="18"/>
          <w:position w:val="20"/>
          <w:sz w:val="32"/>
          <w:szCs w:val="32"/>
        </w:rPr>
      </w:pPr>
    </w:p>
    <w:p>
      <w:pPr>
        <w:spacing w:before="223" w:line="600" w:lineRule="exact"/>
        <w:ind w:left="829"/>
        <w:rPr>
          <w:rFonts w:ascii="仿宋" w:hAnsi="仿宋" w:eastAsia="仿宋" w:cs="仿宋"/>
          <w:spacing w:val="18"/>
          <w:position w:val="20"/>
          <w:sz w:val="32"/>
          <w:szCs w:val="32"/>
        </w:rPr>
      </w:pPr>
    </w:p>
    <w:p>
      <w:pPr>
        <w:pStyle w:val="2"/>
      </w:pPr>
    </w:p>
    <w:tbl>
      <w:tblPr>
        <w:tblStyle w:val="6"/>
        <w:tblpPr w:leftFromText="180" w:rightFromText="180" w:vertAnchor="text" w:horzAnchor="page" w:tblpX="2230" w:tblpY="354"/>
        <w:tblOverlap w:val="never"/>
        <w:tblW w:w="6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8"/>
        <w:gridCol w:w="1651"/>
        <w:gridCol w:w="22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" w:hRule="atLeast"/>
        </w:trPr>
        <w:tc>
          <w:tcPr>
            <w:tcW w:w="60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收支预算执行对比表            单位：元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年度收支执行数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36,103,019.48</w:t>
            </w:r>
          </w:p>
        </w:tc>
        <w:tc>
          <w:tcPr>
            <w:tcW w:w="22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增加疫情防控投入。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年度收支执行数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36,638,677.13</w:t>
            </w:r>
          </w:p>
        </w:tc>
        <w:tc>
          <w:tcPr>
            <w:tcW w:w="22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ascii="仿宋" w:hAnsi="仿宋" w:eastAsia="仿宋" w:cs="仿宋"/>
          <w:spacing w:val="18"/>
          <w:position w:val="20"/>
          <w:sz w:val="32"/>
          <w:szCs w:val="32"/>
        </w:rPr>
      </w:pPr>
    </w:p>
    <w:p>
      <w:pPr>
        <w:pStyle w:val="2"/>
        <w:rPr>
          <w:rFonts w:ascii="仿宋" w:hAnsi="仿宋" w:eastAsia="仿宋" w:cs="仿宋"/>
          <w:spacing w:val="18"/>
          <w:position w:val="20"/>
          <w:sz w:val="32"/>
          <w:szCs w:val="32"/>
        </w:rPr>
      </w:pPr>
    </w:p>
    <w:p>
      <w:pPr>
        <w:pStyle w:val="2"/>
        <w:rPr>
          <w:rFonts w:ascii="仿宋" w:hAnsi="仿宋" w:eastAsia="仿宋" w:cs="仿宋"/>
          <w:spacing w:val="18"/>
          <w:position w:val="20"/>
          <w:sz w:val="32"/>
          <w:szCs w:val="32"/>
        </w:rPr>
      </w:pPr>
    </w:p>
    <w:p>
      <w:pPr>
        <w:numPr>
          <w:ilvl w:val="0"/>
          <w:numId w:val="2"/>
        </w:num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b w:val="0"/>
          <w:bCs/>
          <w:sz w:val="32"/>
          <w:szCs w:val="32"/>
        </w:rPr>
      </w:pPr>
      <w:r>
        <w:rPr>
          <w:rFonts w:hint="eastAsia" w:ascii="仿宋_GB2312" w:hAnsi="仿宋" w:eastAsia="仿宋_GB2312"/>
          <w:b w:val="0"/>
          <w:bCs/>
          <w:sz w:val="32"/>
          <w:szCs w:val="32"/>
        </w:rPr>
        <w:t>收入支出与预算对比分析。</w:t>
      </w:r>
    </w:p>
    <w:tbl>
      <w:tblPr>
        <w:tblStyle w:val="6"/>
        <w:tblpPr w:leftFromText="180" w:rightFromText="180" w:vertAnchor="text" w:horzAnchor="page" w:tblpX="1995" w:tblpY="115"/>
        <w:tblOverlap w:val="never"/>
        <w:tblW w:w="72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6"/>
        <w:gridCol w:w="1999"/>
        <w:gridCol w:w="20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项目（</w:t>
            </w:r>
            <w:r>
              <w:rPr>
                <w:rStyle w:val="12"/>
                <w:lang w:val="en-US" w:eastAsia="zh-CN" w:bidi="ar"/>
              </w:rPr>
              <w:t>按功能分类）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2022年预算数（元）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2022年收支数（元）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25,760,000.00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25,759,407.27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0.00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0.00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0.00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0.00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0.00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1,152,000.00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1,151,863.57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6,175,000.00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6,174,177.72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901,000.00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900,819.77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0.00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878,000.00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877,255.80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15,700.00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15,700.00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0.00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0.00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0.00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0.00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0.00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0.00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1,760,000.00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1,759,453.00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0.00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0.00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0.00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0.00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0.00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0.00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0.00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36,641,700.00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36,638,677.13</w:t>
            </w:r>
          </w:p>
        </w:tc>
      </w:tr>
    </w:tbl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b w:val="0"/>
          <w:bCs/>
          <w:sz w:val="32"/>
          <w:szCs w:val="32"/>
          <w:lang w:val="en-US" w:eastAsia="zh-CN"/>
        </w:rPr>
      </w:pP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b w:val="0"/>
          <w:bCs/>
          <w:sz w:val="32"/>
          <w:szCs w:val="32"/>
          <w:lang w:val="en-US" w:eastAsia="zh-CN"/>
        </w:rPr>
      </w:pP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b w:val="0"/>
          <w:bCs/>
          <w:sz w:val="32"/>
          <w:szCs w:val="32"/>
          <w:lang w:val="en-US" w:eastAsia="zh-CN"/>
        </w:rPr>
      </w:pP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b w:val="0"/>
          <w:bCs/>
          <w:sz w:val="32"/>
          <w:szCs w:val="32"/>
          <w:lang w:val="en-US" w:eastAsia="zh-CN"/>
        </w:rPr>
      </w:pP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b w:val="0"/>
          <w:bCs/>
          <w:sz w:val="32"/>
          <w:szCs w:val="32"/>
          <w:lang w:val="en-US" w:eastAsia="zh-CN"/>
        </w:rPr>
      </w:pP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b w:val="0"/>
          <w:bCs/>
          <w:sz w:val="32"/>
          <w:szCs w:val="32"/>
          <w:lang w:val="en-US" w:eastAsia="zh-CN"/>
        </w:rPr>
      </w:pP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b w:val="0"/>
          <w:bCs/>
          <w:sz w:val="32"/>
          <w:szCs w:val="32"/>
          <w:lang w:val="en-US" w:eastAsia="zh-CN"/>
        </w:rPr>
      </w:pP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b w:val="0"/>
          <w:bCs/>
          <w:sz w:val="32"/>
          <w:szCs w:val="32"/>
          <w:lang w:val="en-US" w:eastAsia="zh-CN"/>
        </w:rPr>
      </w:pP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b w:val="0"/>
          <w:bCs/>
          <w:sz w:val="32"/>
          <w:szCs w:val="32"/>
          <w:lang w:val="en-US" w:eastAsia="zh-CN"/>
        </w:rPr>
      </w:pP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b w:val="0"/>
          <w:bCs/>
          <w:sz w:val="32"/>
          <w:szCs w:val="32"/>
          <w:lang w:val="en-US" w:eastAsia="zh-CN"/>
        </w:rPr>
      </w:pPr>
    </w:p>
    <w:p>
      <w:pPr>
        <w:snapToGrid w:val="0"/>
        <w:spacing w:line="520" w:lineRule="exact"/>
        <w:ind w:firstLine="640" w:firstLineChars="200"/>
        <w:rPr>
          <w:rFonts w:ascii="仿宋_GB2312" w:hAnsi="仿宋" w:eastAsia="仿宋_GB2312"/>
          <w:b w:val="0"/>
          <w:bCs/>
          <w:sz w:val="32"/>
          <w:szCs w:val="32"/>
        </w:rPr>
      </w:pPr>
      <w:r>
        <w:rPr>
          <w:rFonts w:hint="eastAsia" w:ascii="仿宋_GB2312" w:hAnsi="仿宋" w:eastAsia="仿宋_GB2312"/>
          <w:b w:val="0"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/>
          <w:b w:val="0"/>
          <w:bCs/>
          <w:sz w:val="32"/>
          <w:szCs w:val="32"/>
        </w:rPr>
        <w:t>收入支出结构分析。</w:t>
      </w:r>
    </w:p>
    <w:tbl>
      <w:tblPr>
        <w:tblStyle w:val="6"/>
        <w:tblpPr w:leftFromText="180" w:rightFromText="180" w:vertAnchor="text" w:horzAnchor="page" w:tblpX="3060" w:tblpY="180"/>
        <w:tblOverlap w:val="never"/>
        <w:tblW w:w="485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6"/>
        <w:gridCol w:w="16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决算数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一、一般公共预算财政拨款收入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36,007,105.24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二、政府性基金预算财政拨款收入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95,914.24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36103019.48</w:t>
            </w:r>
          </w:p>
        </w:tc>
      </w:tr>
    </w:tbl>
    <w:p>
      <w:pPr>
        <w:snapToGrid w:val="0"/>
        <w:spacing w:line="520" w:lineRule="exact"/>
        <w:ind w:firstLine="643" w:firstLineChars="200"/>
        <w:rPr>
          <w:rFonts w:hint="eastAsia" w:ascii="仿宋_GB2312" w:hAnsi="仿宋" w:eastAsia="仿宋_GB2312"/>
          <w:b/>
          <w:sz w:val="32"/>
          <w:szCs w:val="32"/>
        </w:rPr>
      </w:pPr>
    </w:p>
    <w:p>
      <w:pPr>
        <w:snapToGrid w:val="0"/>
        <w:spacing w:line="520" w:lineRule="exact"/>
        <w:ind w:firstLine="643" w:firstLineChars="200"/>
        <w:rPr>
          <w:rFonts w:hint="eastAsia" w:ascii="仿宋_GB2312" w:hAnsi="仿宋" w:eastAsia="仿宋_GB2312"/>
          <w:b/>
          <w:sz w:val="32"/>
          <w:szCs w:val="32"/>
        </w:rPr>
      </w:pPr>
    </w:p>
    <w:p>
      <w:pPr>
        <w:snapToGrid w:val="0"/>
        <w:spacing w:line="520" w:lineRule="exact"/>
        <w:ind w:firstLine="643" w:firstLineChars="200"/>
        <w:rPr>
          <w:rFonts w:hint="eastAsia" w:ascii="仿宋_GB2312" w:hAnsi="仿宋" w:eastAsia="仿宋_GB2312"/>
          <w:b/>
          <w:sz w:val="32"/>
          <w:szCs w:val="32"/>
        </w:rPr>
      </w:pPr>
    </w:p>
    <w:p>
      <w:pPr>
        <w:pStyle w:val="2"/>
        <w:rPr>
          <w:rFonts w:ascii="仿宋" w:hAnsi="仿宋" w:eastAsia="仿宋" w:cs="仿宋"/>
          <w:spacing w:val="18"/>
          <w:position w:val="20"/>
          <w:sz w:val="32"/>
          <w:szCs w:val="32"/>
        </w:rPr>
      </w:pP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299720</wp:posOffset>
            </wp:positionH>
            <wp:positionV relativeFrom="paragraph">
              <wp:posOffset>241935</wp:posOffset>
            </wp:positionV>
            <wp:extent cx="4267200" cy="2267585"/>
            <wp:effectExtent l="4445" t="4445" r="14605" b="13970"/>
            <wp:wrapTight wrapText="bothSides">
              <wp:wrapPolygon>
                <wp:start x="-22" y="-42"/>
                <wp:lineTo x="-22" y="21552"/>
                <wp:lineTo x="21578" y="21552"/>
                <wp:lineTo x="21578" y="-42"/>
                <wp:lineTo x="-22" y="-42"/>
              </wp:wrapPolygon>
            </wp:wrapTight>
            <wp:docPr id="10" name="图表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>
      <w:pPr>
        <w:pStyle w:val="2"/>
        <w:rPr>
          <w:rFonts w:ascii="仿宋" w:hAnsi="仿宋" w:eastAsia="仿宋" w:cs="仿宋"/>
          <w:spacing w:val="18"/>
          <w:position w:val="20"/>
          <w:sz w:val="32"/>
          <w:szCs w:val="32"/>
        </w:rPr>
      </w:pPr>
    </w:p>
    <w:p>
      <w:pPr>
        <w:pStyle w:val="2"/>
        <w:rPr>
          <w:rFonts w:ascii="仿宋" w:hAnsi="仿宋" w:eastAsia="仿宋" w:cs="仿宋"/>
          <w:spacing w:val="18"/>
          <w:position w:val="20"/>
          <w:sz w:val="32"/>
          <w:szCs w:val="32"/>
        </w:rPr>
      </w:pPr>
    </w:p>
    <w:p>
      <w:pPr>
        <w:pStyle w:val="2"/>
        <w:rPr>
          <w:rFonts w:ascii="仿宋" w:hAnsi="仿宋" w:eastAsia="仿宋" w:cs="仿宋"/>
          <w:spacing w:val="18"/>
          <w:position w:val="20"/>
          <w:sz w:val="32"/>
          <w:szCs w:val="32"/>
        </w:rPr>
      </w:pPr>
    </w:p>
    <w:p>
      <w:pPr>
        <w:pStyle w:val="2"/>
        <w:rPr>
          <w:rFonts w:ascii="仿宋" w:hAnsi="仿宋" w:eastAsia="仿宋" w:cs="仿宋"/>
          <w:spacing w:val="18"/>
          <w:position w:val="20"/>
          <w:sz w:val="32"/>
          <w:szCs w:val="32"/>
        </w:rPr>
      </w:pPr>
    </w:p>
    <w:p>
      <w:pPr>
        <w:pStyle w:val="2"/>
        <w:rPr>
          <w:rFonts w:ascii="仿宋" w:hAnsi="仿宋" w:eastAsia="仿宋" w:cs="仿宋"/>
          <w:spacing w:val="18"/>
          <w:position w:val="20"/>
          <w:sz w:val="32"/>
          <w:szCs w:val="32"/>
        </w:rPr>
      </w:pPr>
    </w:p>
    <w:p>
      <w:pPr>
        <w:snapToGrid w:val="0"/>
        <w:spacing w:line="520" w:lineRule="exact"/>
        <w:rPr>
          <w:rFonts w:hint="eastAsia" w:ascii="仿宋_GB2312" w:hAnsi="仿宋" w:eastAsia="仿宋_GB2312"/>
          <w:b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snapToGrid w:val="0"/>
        <w:spacing w:line="520" w:lineRule="exact"/>
        <w:ind w:firstLine="640" w:firstLineChars="200"/>
        <w:rPr>
          <w:rFonts w:ascii="仿宋_GB2312" w:hAnsi="仿宋" w:eastAsia="仿宋_GB2312"/>
          <w:b w:val="0"/>
          <w:bCs/>
          <w:sz w:val="32"/>
          <w:szCs w:val="32"/>
        </w:rPr>
      </w:pPr>
      <w:r>
        <w:rPr>
          <w:rFonts w:hint="eastAsia" w:ascii="仿宋_GB2312" w:hAnsi="仿宋" w:eastAsia="仿宋_GB2312"/>
          <w:b w:val="0"/>
          <w:bCs/>
          <w:sz w:val="32"/>
          <w:szCs w:val="32"/>
        </w:rPr>
        <w:t>3．支出按经济分类科目分析。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（1）“三公”经费支出情况：</w:t>
      </w:r>
    </w:p>
    <w:p>
      <w:pPr>
        <w:pStyle w:val="2"/>
        <w:rPr>
          <w:rFonts w:hint="eastAsia" w:ascii="仿宋_GB2312" w:hAnsi="仿宋" w:eastAsia="仿宋_GB2312"/>
          <w:sz w:val="32"/>
          <w:szCs w:val="32"/>
        </w:rPr>
      </w:pPr>
    </w:p>
    <w:p>
      <w:pPr>
        <w:pStyle w:val="2"/>
        <w:rPr>
          <w:rFonts w:hint="eastAsia" w:ascii="仿宋_GB2312" w:hAnsi="仿宋" w:eastAsia="仿宋_GB2312"/>
          <w:sz w:val="32"/>
          <w:szCs w:val="32"/>
        </w:rPr>
      </w:pPr>
    </w:p>
    <w:tbl>
      <w:tblPr>
        <w:tblStyle w:val="6"/>
        <w:tblpPr w:leftFromText="180" w:rightFromText="180" w:vertAnchor="text" w:horzAnchor="page" w:tblpX="1385" w:tblpY="134"/>
        <w:tblOverlap w:val="never"/>
        <w:tblW w:w="92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0"/>
        <w:gridCol w:w="1320"/>
        <w:gridCol w:w="1245"/>
        <w:gridCol w:w="1860"/>
        <w:gridCol w:w="10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13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上年度（元）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本年度（元）</w:t>
            </w:r>
          </w:p>
        </w:tc>
        <w:tc>
          <w:tcPr>
            <w:tcW w:w="18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比上年增减（元）</w:t>
            </w:r>
          </w:p>
        </w:tc>
        <w:tc>
          <w:tcPr>
            <w:tcW w:w="10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增减％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三公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经费支出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135,770.00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137,518.00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1,748.00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其中：因公出国（境）费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公务用车购置及运行维护费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133,000.00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133,000.00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其中：公务用车购置费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公务用车运行维护费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133,000.00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133,000.00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公务接待费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2,770.00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4,518.00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1,748.00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numPr>
          <w:ilvl w:val="0"/>
          <w:numId w:val="3"/>
        </w:numPr>
        <w:snapToGrid w:val="0"/>
        <w:spacing w:line="52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会议费支出情况：</w:t>
      </w:r>
    </w:p>
    <w:tbl>
      <w:tblPr>
        <w:tblStyle w:val="6"/>
        <w:tblpPr w:leftFromText="180" w:rightFromText="180" w:vertAnchor="text" w:horzAnchor="page" w:tblpX="984" w:tblpY="375"/>
        <w:tblOverlap w:val="never"/>
        <w:tblW w:w="91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680"/>
        <w:gridCol w:w="1710"/>
        <w:gridCol w:w="1680"/>
        <w:gridCol w:w="945"/>
        <w:gridCol w:w="22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上年度（元）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本年度（元）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比上年增减（元）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增减％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15,197.00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28,578.00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13,381.00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0.88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召开疫情防控会议增加</w:t>
            </w:r>
          </w:p>
        </w:tc>
      </w:tr>
    </w:tbl>
    <w:p>
      <w:pPr>
        <w:numPr>
          <w:ilvl w:val="0"/>
          <w:numId w:val="0"/>
        </w:numPr>
        <w:snapToGrid w:val="0"/>
        <w:spacing w:line="520" w:lineRule="exact"/>
        <w:rPr>
          <w:rFonts w:hint="eastAsia" w:ascii="仿宋_GB2312" w:hAnsi="仿宋" w:eastAsia="仿宋_GB2312"/>
          <w:sz w:val="32"/>
          <w:szCs w:val="32"/>
        </w:rPr>
      </w:pPr>
    </w:p>
    <w:tbl>
      <w:tblPr>
        <w:tblStyle w:val="6"/>
        <w:tblpPr w:leftFromText="180" w:rightFromText="180" w:vertAnchor="text" w:horzAnchor="page" w:tblpX="1745" w:tblpY="1044"/>
        <w:tblOverlap w:val="never"/>
        <w:tblW w:w="78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229"/>
        <w:gridCol w:w="1065"/>
        <w:gridCol w:w="1425"/>
        <w:gridCol w:w="1080"/>
        <w:gridCol w:w="19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122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上年度</w:t>
            </w:r>
          </w:p>
        </w:tc>
        <w:tc>
          <w:tcPr>
            <w:tcW w:w="10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本年度</w:t>
            </w:r>
          </w:p>
        </w:tc>
        <w:tc>
          <w:tcPr>
            <w:tcW w:w="14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比上年增减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增减％</w:t>
            </w:r>
          </w:p>
        </w:tc>
        <w:tc>
          <w:tcPr>
            <w:tcW w:w="19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1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培训费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1,360.00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3,065.50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1,705.50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1.25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培训任务增加</w:t>
            </w:r>
          </w:p>
        </w:tc>
      </w:tr>
    </w:tbl>
    <w:p>
      <w:pPr>
        <w:numPr>
          <w:ilvl w:val="0"/>
          <w:numId w:val="3"/>
        </w:numPr>
        <w:snapToGrid w:val="0"/>
        <w:spacing w:line="520" w:lineRule="exact"/>
        <w:ind w:left="0" w:leftChars="0" w:firstLine="0" w:firstLineChars="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培训费支出情况：</w:t>
      </w:r>
    </w:p>
    <w:p>
      <w:pPr>
        <w:numPr>
          <w:ilvl w:val="0"/>
          <w:numId w:val="0"/>
        </w:numPr>
        <w:snapToGrid w:val="0"/>
        <w:spacing w:line="520" w:lineRule="exact"/>
        <w:ind w:leftChars="0"/>
        <w:rPr>
          <w:rFonts w:hint="eastAsia" w:ascii="仿宋_GB2312" w:hAnsi="仿宋" w:eastAsia="仿宋_GB2312"/>
          <w:sz w:val="32"/>
          <w:szCs w:val="32"/>
        </w:rPr>
      </w:pPr>
    </w:p>
    <w:p>
      <w:pPr>
        <w:numPr>
          <w:ilvl w:val="0"/>
          <w:numId w:val="0"/>
        </w:numPr>
        <w:snapToGrid w:val="0"/>
        <w:spacing w:line="520" w:lineRule="exact"/>
        <w:ind w:leftChars="0"/>
        <w:rPr>
          <w:rFonts w:hint="eastAsia" w:ascii="仿宋_GB2312" w:hAnsi="仿宋" w:eastAsia="仿宋_GB2312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numPr>
          <w:ilvl w:val="0"/>
          <w:numId w:val="0"/>
        </w:numPr>
        <w:snapToGrid w:val="0"/>
        <w:spacing w:line="520" w:lineRule="exact"/>
        <w:rPr>
          <w:rFonts w:hint="eastAsia" w:ascii="仿宋_GB2312" w:hAnsi="仿宋" w:eastAsia="仿宋_GB2312"/>
          <w:b w:val="0"/>
          <w:bCs/>
          <w:sz w:val="32"/>
          <w:szCs w:val="32"/>
        </w:rPr>
      </w:pPr>
      <w:r>
        <w:rPr>
          <w:rFonts w:hint="eastAsia" w:ascii="仿宋_GB2312" w:hAnsi="仿宋" w:eastAsia="仿宋_GB2312"/>
          <w:b w:val="0"/>
          <w:bCs/>
          <w:sz w:val="32"/>
          <w:szCs w:val="32"/>
          <w:lang w:val="en-US" w:eastAsia="zh-CN"/>
        </w:rPr>
        <w:t>4.</w:t>
      </w:r>
      <w:r>
        <w:rPr>
          <w:rFonts w:hint="eastAsia" w:ascii="仿宋_GB2312" w:hAnsi="仿宋" w:eastAsia="仿宋_GB2312"/>
          <w:b w:val="0"/>
          <w:bCs/>
          <w:sz w:val="32"/>
          <w:szCs w:val="32"/>
        </w:rPr>
        <w:t>财政拨款收入、支出分析。</w:t>
      </w:r>
    </w:p>
    <w:tbl>
      <w:tblPr>
        <w:tblStyle w:val="6"/>
        <w:tblpPr w:leftFromText="180" w:rightFromText="180" w:vertAnchor="text" w:horzAnchor="page" w:tblpX="720" w:tblpY="676"/>
        <w:tblOverlap w:val="never"/>
        <w:tblW w:w="102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965"/>
        <w:gridCol w:w="2070"/>
        <w:gridCol w:w="1665"/>
        <w:gridCol w:w="1695"/>
        <w:gridCol w:w="14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支出功能分类科目代码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36,638,677.13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36,638,677.13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27,311,887.68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9,326,789.45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一般公共服务支出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25,759,407.27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25,759,407.27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18,473,246.19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7,286,161.08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人大事务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122,697.00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122,697.00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122,697.00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2010101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行政运行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122,697.00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122,697.00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122,697.00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政府办公厅（室）及相关机构事务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21,688,583.47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21,688,583.47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17,121,951.95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4,566,631.52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2010301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行政运行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17,121,951.95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17,121,951.95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17,121,951.95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2010303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机关服务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224,665.80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224,665.80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224,665.80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2010399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其他政府办公厅（室）及相关机构事务支出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4,341,965.72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4,341,965.72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4,341,965.72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财政事务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1,911,948.20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1,911,948.20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1,911,948.20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2010607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信息化建设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1,911,948.20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1,911,948.20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1,911,948.20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纪检监察事务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1,350,094.24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1,350,094.24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1,350,094.24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2011101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行政运行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1,350,094.24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1,350,094.24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1,350,094.24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群众团体事务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77,364.36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77,364.36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77,364.36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2012999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其他群众团体事务支出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77,364.36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77,364.36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77,364.36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宣传事务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607,520.00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607,520.00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607,520.00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2013399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其他宣传事务支出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607,520.00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607,520.00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607,520.00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其他一般公共服务支出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1,200.00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1,200.00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1,200.00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2019999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其他一般公共服务支出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1,200.00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1,200.00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1,200.00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文化旅游体育与传媒支出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1,151,863.57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1,151,863.57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1,151,863.57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新闻出版电影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706,624.27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706,624.27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706,624.27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2070604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新闻通讯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706,624.27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706,624.27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706,624.27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20799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其他文化旅游体育与传媒支出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445,239.30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445,239.30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445,239.30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2079999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其他文化旅游体育与传媒支出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445,239.30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445,239.30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445,239.30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6,174,177.72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6,174,177.72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6,174,177.72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行政事业单位养老支出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6,158,977.72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6,158,977.72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6,158,977.72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2080501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行政单位离退休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1,941,261.00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1,941,261.00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1,941,261.00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2080505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机关事业单位基本养老保险缴费支出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1,992,186.03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1,992,186.03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1,992,186.03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2080506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机关事业单位职业年金缴费支出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2,050,242.33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2,050,242.33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2,050,242.33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2080508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对机关事业单位职业年金的补助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175,288.36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175,288.36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175,288.36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抚恤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15,200.00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15,200.00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15,200.00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2080805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义务兵优待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15,200.00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15,200.00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15,200.00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卫生健康支出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900,819.77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900,819.77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889,310.77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11,509.00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11,509.00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11,509.00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11,509.00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2100410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突发公共卫生事件应急处理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11,509.00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11,509.00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11,509.00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行政事业单位医疗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889,310.77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889,310.77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889,310.77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2101101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行政单位医疗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811,358.77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811,358.77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811,358.77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2101103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公务员医疗补助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77,952.00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77,952.00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77,952.00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城乡社区支出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877,255.80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877,255.80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877,255.80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城乡社区管理事务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808,255.80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808,255.80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808,255.80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其他城乡社区管理事务支出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808,255.80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808,255.80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808,255.80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国有土地使用权出让收入安排的支出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59,000.00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59,000.00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2120899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其他国有土地使用权出让收入安排的支出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59,000.00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59,000.00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21213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城市基础设施配套费安排的支出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10,000.00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10,000.00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2121302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城市环境卫生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10,000.00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10,000.00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农林水支出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15,700.00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15,700.00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15,700.00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巩固脱贫衔接乡村振兴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15,700.00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15,700.00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15,700.00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2130599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其他巩固脱贫衔接乡村振兴支出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15,700.00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15,700.00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15,700.00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住房保障支出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1,759,453.00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1,759,453.00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1,759,453.00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住房改革支出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1,759,453.00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1,759,453.00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1,759,453.00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2210201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住房公积金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1,759,453.00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1,759,453.00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1,759,453.00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</w:tbl>
    <w:p>
      <w:pPr>
        <w:numPr>
          <w:ilvl w:val="0"/>
          <w:numId w:val="4"/>
        </w:numPr>
        <w:spacing w:before="203" w:line="240" w:lineRule="auto"/>
        <w:rPr>
          <w:rFonts w:ascii="仿宋" w:hAnsi="仿宋" w:eastAsia="仿宋" w:cs="仿宋"/>
          <w:spacing w:val="1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财务合规性。</w:t>
      </w:r>
    </w:p>
    <w:p>
      <w:pPr>
        <w:numPr>
          <w:ilvl w:val="0"/>
          <w:numId w:val="0"/>
        </w:numPr>
        <w:spacing w:before="203" w:line="240" w:lineRule="auto"/>
        <w:ind w:firstLine="644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我办</w:t>
      </w:r>
      <w:r>
        <w:rPr>
          <w:rFonts w:hint="eastAsia" w:ascii="仿宋" w:hAnsi="仿宋" w:eastAsia="仿宋" w:cs="仿宋"/>
          <w:spacing w:val="1"/>
          <w:sz w:val="32"/>
          <w:szCs w:val="32"/>
        </w:rPr>
        <w:t>规范管理财务收支，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逐步</w:t>
      </w:r>
      <w:r>
        <w:rPr>
          <w:rFonts w:hint="eastAsia" w:ascii="仿宋" w:hAnsi="仿宋" w:eastAsia="仿宋" w:cs="仿宋"/>
          <w:spacing w:val="1"/>
          <w:sz w:val="32"/>
          <w:szCs w:val="32"/>
        </w:rPr>
        <w:t>健全财务监督机制，完善内部监控制度，维护财经纪律，促进党风廉政建设，从源头上预防腐败，杜绝违纪违法行为，合理利用资源，防止资产流失、浪费或占用，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严格遵守</w:t>
      </w:r>
      <w:r>
        <w:rPr>
          <w:rFonts w:hint="eastAsia" w:ascii="仿宋" w:hAnsi="仿宋" w:eastAsia="仿宋" w:cs="仿宋"/>
          <w:spacing w:val="1"/>
          <w:sz w:val="32"/>
          <w:szCs w:val="32"/>
        </w:rPr>
        <w:t>《中华人民共和国预算法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》《</w:t>
      </w:r>
      <w:r>
        <w:rPr>
          <w:rFonts w:hint="eastAsia" w:ascii="仿宋" w:hAnsi="仿宋" w:eastAsia="仿宋" w:cs="仿宋"/>
          <w:spacing w:val="1"/>
          <w:sz w:val="32"/>
          <w:szCs w:val="32"/>
        </w:rPr>
        <w:t>中华人民共和国会计法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》《</w:t>
      </w:r>
      <w:r>
        <w:rPr>
          <w:rFonts w:hint="eastAsia" w:ascii="仿宋" w:hAnsi="仿宋" w:eastAsia="仿宋" w:cs="仿宋"/>
          <w:spacing w:val="1"/>
          <w:sz w:val="32"/>
          <w:szCs w:val="32"/>
        </w:rPr>
        <w:t>中华人民共和国政府采购法》和财政部《政府会计制度》等有关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法律法规</w:t>
      </w:r>
      <w:r>
        <w:rPr>
          <w:rFonts w:hint="eastAsia" w:ascii="仿宋" w:hAnsi="仿宋" w:eastAsia="仿宋" w:cs="仿宋"/>
          <w:spacing w:val="1"/>
          <w:sz w:val="32"/>
          <w:szCs w:val="32"/>
        </w:rPr>
        <w:t>及上级部门、区财政局的相关制度、规定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pacing w:val="1"/>
          <w:sz w:val="32"/>
          <w:szCs w:val="32"/>
        </w:rPr>
        <w:t>并结合实际情况对</w:t>
      </w:r>
      <w:r>
        <w:rPr>
          <w:rFonts w:ascii="仿宋" w:hAnsi="仿宋" w:eastAsia="仿宋" w:cs="仿宋"/>
          <w:spacing w:val="1"/>
          <w:sz w:val="32"/>
          <w:szCs w:val="32"/>
        </w:rPr>
        <w:t>我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办</w:t>
      </w:r>
      <w:r>
        <w:rPr>
          <w:rFonts w:ascii="仿宋" w:hAnsi="仿宋" w:eastAsia="仿宋" w:cs="仿宋"/>
          <w:spacing w:val="1"/>
          <w:sz w:val="32"/>
          <w:szCs w:val="32"/>
        </w:rPr>
        <w:t>基本支出、项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目</w:t>
      </w:r>
      <w:r>
        <w:rPr>
          <w:rFonts w:ascii="仿宋" w:hAnsi="仿宋" w:eastAsia="仿宋" w:cs="仿宋"/>
          <w:spacing w:val="1"/>
          <w:sz w:val="32"/>
          <w:szCs w:val="32"/>
        </w:rPr>
        <w:t>支出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（</w:t>
      </w:r>
      <w:r>
        <w:rPr>
          <w:rFonts w:ascii="仿宋" w:hAnsi="仿宋" w:eastAsia="仿宋" w:cs="仿宋"/>
          <w:spacing w:val="1"/>
          <w:sz w:val="32"/>
          <w:szCs w:val="32"/>
        </w:rPr>
        <w:t>含专项工</w:t>
      </w:r>
      <w:r>
        <w:rPr>
          <w:rFonts w:ascii="仿宋" w:hAnsi="仿宋" w:eastAsia="仿宋" w:cs="仿宋"/>
          <w:spacing w:val="13"/>
          <w:sz w:val="32"/>
          <w:szCs w:val="32"/>
        </w:rPr>
        <w:t>作经费</w:t>
      </w:r>
      <w:r>
        <w:rPr>
          <w:rFonts w:hint="eastAsia" w:ascii="仿宋" w:hAnsi="仿宋" w:eastAsia="仿宋" w:cs="仿宋"/>
          <w:spacing w:val="13"/>
          <w:sz w:val="32"/>
          <w:szCs w:val="32"/>
          <w:lang w:eastAsia="zh-CN"/>
        </w:rPr>
        <w:t>）</w:t>
      </w:r>
      <w:r>
        <w:rPr>
          <w:rFonts w:ascii="仿宋" w:hAnsi="仿宋" w:eastAsia="仿宋" w:cs="仿宋"/>
          <w:spacing w:val="-10"/>
          <w:sz w:val="32"/>
          <w:szCs w:val="32"/>
        </w:rPr>
        <w:t>按照“财政拨款支出”和“其他资金支出</w:t>
      </w:r>
      <w:r>
        <w:rPr>
          <w:rFonts w:hint="eastAsia" w:ascii="仿宋" w:hAnsi="仿宋" w:eastAsia="仿宋" w:cs="仿宋"/>
          <w:spacing w:val="-10"/>
          <w:sz w:val="32"/>
          <w:szCs w:val="32"/>
          <w:lang w:eastAsia="zh-CN"/>
        </w:rPr>
        <w:t>”“</w:t>
      </w:r>
      <w:r>
        <w:rPr>
          <w:rFonts w:ascii="仿宋" w:hAnsi="仿宋" w:eastAsia="仿宋" w:cs="仿宋"/>
          <w:spacing w:val="-10"/>
          <w:sz w:val="32"/>
          <w:szCs w:val="32"/>
        </w:rPr>
        <w:t>基本支出”和</w:t>
      </w:r>
      <w:r>
        <w:rPr>
          <w:rFonts w:ascii="仿宋" w:hAnsi="仿宋" w:eastAsia="仿宋" w:cs="仿宋"/>
          <w:spacing w:val="5"/>
          <w:sz w:val="32"/>
          <w:szCs w:val="32"/>
        </w:rPr>
        <w:t>“项目支出”等分类进行明细核算；会计核算不存在支出依据不</w:t>
      </w:r>
      <w:r>
        <w:rPr>
          <w:rFonts w:ascii="仿宋" w:hAnsi="仿宋" w:eastAsia="仿宋" w:cs="仿宋"/>
          <w:spacing w:val="-7"/>
          <w:sz w:val="32"/>
          <w:szCs w:val="32"/>
        </w:rPr>
        <w:t>合规、虚列支出的情况；不存在截留、挤占、挪用项目资金情况；</w:t>
      </w:r>
      <w:r>
        <w:rPr>
          <w:rFonts w:ascii="仿宋" w:hAnsi="仿宋" w:eastAsia="仿宋" w:cs="仿宋"/>
          <w:spacing w:val="-3"/>
          <w:sz w:val="32"/>
          <w:szCs w:val="32"/>
        </w:rPr>
        <w:t>不存在超标准开支等情况。</w:t>
      </w:r>
    </w:p>
    <w:p>
      <w:pPr>
        <w:numPr>
          <w:ilvl w:val="0"/>
          <w:numId w:val="5"/>
        </w:numPr>
        <w:spacing w:before="223" w:line="240" w:lineRule="auto"/>
        <w:rPr>
          <w:rFonts w:ascii="仿宋" w:hAnsi="仿宋" w:eastAsia="仿宋" w:cs="仿宋"/>
          <w:spacing w:val="18"/>
          <w:position w:val="20"/>
          <w:sz w:val="32"/>
          <w:szCs w:val="32"/>
        </w:rPr>
      </w:pPr>
      <w:r>
        <w:rPr>
          <w:rFonts w:ascii="仿宋" w:hAnsi="仿宋" w:eastAsia="仿宋" w:cs="仿宋"/>
          <w:spacing w:val="18"/>
          <w:position w:val="20"/>
          <w:sz w:val="32"/>
          <w:szCs w:val="32"/>
        </w:rPr>
        <w:t>信息公开。</w:t>
      </w:r>
    </w:p>
    <w:p>
      <w:pPr>
        <w:numPr>
          <w:ilvl w:val="0"/>
          <w:numId w:val="0"/>
        </w:numPr>
        <w:spacing w:before="223" w:line="240" w:lineRule="auto"/>
        <w:ind w:firstLine="648" w:firstLineChars="200"/>
        <w:rPr>
          <w:rFonts w:ascii="仿宋" w:hAnsi="仿宋" w:eastAsia="仿宋" w:cs="仿宋"/>
          <w:spacing w:val="1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预算</w:t>
      </w:r>
      <w:r>
        <w:rPr>
          <w:rFonts w:ascii="仿宋" w:hAnsi="仿宋" w:eastAsia="仿宋" w:cs="仿宋"/>
          <w:spacing w:val="1"/>
          <w:sz w:val="32"/>
          <w:szCs w:val="32"/>
        </w:rPr>
        <w:t>信息公开。本单位按照《预算法》和政府信息公开有关规定在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湛江经开区官</w:t>
      </w:r>
      <w:r>
        <w:rPr>
          <w:rFonts w:ascii="仿宋" w:hAnsi="仿宋" w:eastAsia="仿宋" w:cs="仿宋"/>
          <w:spacing w:val="1"/>
          <w:sz w:val="32"/>
          <w:szCs w:val="32"/>
        </w:rPr>
        <w:t>网公开预算信息公开，预算公开时间为202</w:t>
      </w: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/>
        </w:rPr>
        <w:t>2</w:t>
      </w:r>
      <w:r>
        <w:rPr>
          <w:rFonts w:ascii="仿宋" w:hAnsi="仿宋" w:eastAsia="仿宋" w:cs="仿宋"/>
          <w:spacing w:val="1"/>
          <w:sz w:val="32"/>
          <w:szCs w:val="32"/>
        </w:rPr>
        <w:t>年</w:t>
      </w: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/>
        </w:rPr>
        <w:t>2</w:t>
      </w:r>
      <w:r>
        <w:rPr>
          <w:rFonts w:ascii="仿宋" w:hAnsi="仿宋" w:eastAsia="仿宋" w:cs="仿宋"/>
          <w:spacing w:val="1"/>
          <w:sz w:val="32"/>
          <w:szCs w:val="32"/>
        </w:rPr>
        <w:t>月</w:t>
      </w: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/>
        </w:rPr>
        <w:t>15</w:t>
      </w:r>
      <w:r>
        <w:rPr>
          <w:rFonts w:ascii="仿宋" w:hAnsi="仿宋" w:eastAsia="仿宋" w:cs="仿宋"/>
          <w:spacing w:val="1"/>
          <w:sz w:val="32"/>
          <w:szCs w:val="32"/>
        </w:rPr>
        <w:t>日，公开网址：</w:t>
      </w:r>
    </w:p>
    <w:p>
      <w:pPr>
        <w:numPr>
          <w:ilvl w:val="0"/>
          <w:numId w:val="0"/>
        </w:numPr>
        <w:spacing w:before="223" w:line="240" w:lineRule="auto"/>
        <w:ind w:firstLine="644" w:firstLineChars="200"/>
        <w:rPr>
          <w:rFonts w:hint="eastAsia" w:ascii="仿宋" w:hAnsi="仿宋" w:eastAsia="仿宋" w:cs="仿宋"/>
          <w:spacing w:val="1"/>
          <w:sz w:val="32"/>
          <w:szCs w:val="32"/>
        </w:rPr>
      </w:pPr>
      <w:r>
        <w:rPr>
          <w:rFonts w:hint="eastAsia" w:ascii="仿宋" w:hAnsi="仿宋" w:eastAsia="仿宋" w:cs="仿宋"/>
          <w:spacing w:val="1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pacing w:val="1"/>
          <w:sz w:val="32"/>
          <w:szCs w:val="32"/>
        </w:rPr>
        <w:instrText xml:space="preserve"> HYPERLINK "http://www.zetdz.gov.cn/wz/zwgk/cwxx/bmyjs/bmys/2022/content/post_1574388.html" </w:instrText>
      </w:r>
      <w:r>
        <w:rPr>
          <w:rFonts w:hint="eastAsia" w:ascii="仿宋" w:hAnsi="仿宋" w:eastAsia="仿宋" w:cs="仿宋"/>
          <w:spacing w:val="1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pacing w:val="1"/>
          <w:sz w:val="32"/>
          <w:szCs w:val="32"/>
        </w:rPr>
        <w:t>http://www.zetdz.gov.cn/wz/zwgk/cwxx/bmyjs/bmys/2022/content/post_1574388.html</w:t>
      </w:r>
      <w:r>
        <w:rPr>
          <w:rFonts w:hint="eastAsia" w:ascii="仿宋" w:hAnsi="仿宋" w:eastAsia="仿宋" w:cs="仿宋"/>
          <w:spacing w:val="1"/>
          <w:sz w:val="32"/>
          <w:szCs w:val="32"/>
        </w:rPr>
        <w:fldChar w:fldCharType="end"/>
      </w:r>
    </w:p>
    <w:p>
      <w:pPr>
        <w:numPr>
          <w:ilvl w:val="0"/>
          <w:numId w:val="0"/>
        </w:numPr>
        <w:spacing w:before="223" w:line="240" w:lineRule="auto"/>
        <w:ind w:firstLine="647" w:firstLineChars="200"/>
        <w:rPr>
          <w:rFonts w:ascii="仿宋" w:hAnsi="仿宋" w:eastAsia="仿宋" w:cs="仿宋"/>
          <w:b/>
          <w:bCs/>
          <w:spacing w:val="1"/>
          <w:sz w:val="32"/>
          <w:szCs w:val="32"/>
        </w:rPr>
      </w:pPr>
      <w:r>
        <w:rPr>
          <w:rFonts w:ascii="仿宋" w:hAnsi="仿宋" w:eastAsia="仿宋" w:cs="仿宋"/>
          <w:b/>
          <w:bCs/>
          <w:spacing w:val="1"/>
          <w:sz w:val="32"/>
          <w:szCs w:val="32"/>
        </w:rPr>
        <w:t>五、 预算管理情况</w:t>
      </w:r>
    </w:p>
    <w:p>
      <w:pPr>
        <w:numPr>
          <w:ilvl w:val="0"/>
          <w:numId w:val="0"/>
        </w:numPr>
        <w:spacing w:before="223" w:line="240" w:lineRule="auto"/>
        <w:ind w:firstLine="644" w:firstLineChars="200"/>
        <w:rPr>
          <w:rFonts w:ascii="仿宋" w:hAnsi="仿宋" w:eastAsia="仿宋" w:cs="仿宋"/>
          <w:spacing w:val="1"/>
          <w:sz w:val="32"/>
          <w:szCs w:val="32"/>
        </w:rPr>
      </w:pP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（</w:t>
      </w:r>
      <w:r>
        <w:rPr>
          <w:rFonts w:ascii="仿宋" w:hAnsi="仿宋" w:eastAsia="仿宋" w:cs="仿宋"/>
          <w:spacing w:val="1"/>
          <w:sz w:val="32"/>
          <w:szCs w:val="32"/>
        </w:rPr>
        <w:t>一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）</w:t>
      </w:r>
      <w:r>
        <w:rPr>
          <w:rFonts w:ascii="仿宋" w:hAnsi="仿宋" w:eastAsia="仿宋" w:cs="仿宋"/>
          <w:spacing w:val="1"/>
          <w:sz w:val="32"/>
          <w:szCs w:val="32"/>
        </w:rPr>
        <w:t>项目管理。</w:t>
      </w:r>
    </w:p>
    <w:p>
      <w:pPr>
        <w:numPr>
          <w:ilvl w:val="0"/>
          <w:numId w:val="0"/>
        </w:numPr>
        <w:spacing w:before="223" w:line="240" w:lineRule="auto"/>
        <w:ind w:firstLine="644" w:firstLineChars="200"/>
        <w:rPr>
          <w:rFonts w:ascii="仿宋" w:hAnsi="仿宋" w:eastAsia="仿宋" w:cs="仿宋"/>
          <w:spacing w:val="1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1.项目实施程序。我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办</w:t>
      </w:r>
      <w:r>
        <w:rPr>
          <w:rFonts w:ascii="仿宋" w:hAnsi="仿宋" w:eastAsia="仿宋" w:cs="仿宋"/>
          <w:spacing w:val="1"/>
          <w:sz w:val="32"/>
          <w:szCs w:val="32"/>
        </w:rPr>
        <w:t>项目支出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（</w:t>
      </w:r>
      <w:r>
        <w:rPr>
          <w:rFonts w:ascii="仿宋" w:hAnsi="仿宋" w:eastAsia="仿宋" w:cs="仿宋"/>
          <w:spacing w:val="1"/>
          <w:sz w:val="32"/>
          <w:szCs w:val="32"/>
        </w:rPr>
        <w:t>含专项工作经费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）</w:t>
      </w:r>
      <w:r>
        <w:rPr>
          <w:rFonts w:ascii="仿宋" w:hAnsi="仿宋" w:eastAsia="仿宋" w:cs="仿宋"/>
          <w:spacing w:val="1"/>
          <w:sz w:val="32"/>
          <w:szCs w:val="32"/>
        </w:rPr>
        <w:t>实施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过</w:t>
      </w:r>
      <w:r>
        <w:rPr>
          <w:rFonts w:ascii="仿宋" w:hAnsi="仿宋" w:eastAsia="仿宋" w:cs="仿宋"/>
          <w:spacing w:val="1"/>
          <w:sz w:val="32"/>
          <w:szCs w:val="32"/>
        </w:rPr>
        <w:t>程规范，但没达到项目立项、申报、批复、项目招投标、调整、完成验收等情况需求。</w:t>
      </w:r>
    </w:p>
    <w:p>
      <w:pPr>
        <w:numPr>
          <w:ilvl w:val="0"/>
          <w:numId w:val="0"/>
        </w:numPr>
        <w:spacing w:before="223" w:line="240" w:lineRule="auto"/>
        <w:ind w:firstLine="644" w:firstLineChars="200"/>
        <w:rPr>
          <w:rFonts w:ascii="仿宋" w:hAnsi="仿宋" w:eastAsia="仿宋" w:cs="仿宋"/>
          <w:spacing w:val="1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2.项目监管。我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办</w:t>
      </w:r>
      <w:r>
        <w:rPr>
          <w:rFonts w:ascii="仿宋" w:hAnsi="仿宋" w:eastAsia="仿宋" w:cs="仿宋"/>
          <w:spacing w:val="1"/>
          <w:sz w:val="32"/>
          <w:szCs w:val="32"/>
        </w:rPr>
        <w:t>对所实施项目的检查、监控、督促等管理情况，由项目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相关科室</w:t>
      </w:r>
      <w:r>
        <w:rPr>
          <w:rFonts w:ascii="仿宋" w:hAnsi="仿宋" w:eastAsia="仿宋" w:cs="仿宋"/>
          <w:spacing w:val="1"/>
          <w:sz w:val="32"/>
          <w:szCs w:val="32"/>
        </w:rPr>
        <w:t>负责。</w:t>
      </w:r>
    </w:p>
    <w:p>
      <w:pPr>
        <w:numPr>
          <w:ilvl w:val="0"/>
          <w:numId w:val="0"/>
        </w:numPr>
        <w:spacing w:before="223" w:line="240" w:lineRule="auto"/>
        <w:ind w:firstLine="644" w:firstLineChars="200"/>
        <w:rPr>
          <w:rFonts w:ascii="仿宋" w:hAnsi="仿宋" w:eastAsia="仿宋" w:cs="仿宋"/>
          <w:spacing w:val="1"/>
          <w:sz w:val="32"/>
          <w:szCs w:val="32"/>
        </w:rPr>
      </w:pP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（</w:t>
      </w:r>
      <w:r>
        <w:rPr>
          <w:rFonts w:ascii="仿宋" w:hAnsi="仿宋" w:eastAsia="仿宋" w:cs="仿宋"/>
          <w:spacing w:val="1"/>
          <w:sz w:val="32"/>
          <w:szCs w:val="32"/>
        </w:rPr>
        <w:t>二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）</w:t>
      </w:r>
      <w:r>
        <w:rPr>
          <w:rFonts w:ascii="仿宋" w:hAnsi="仿宋" w:eastAsia="仿宋" w:cs="仿宋"/>
          <w:spacing w:val="1"/>
          <w:sz w:val="32"/>
          <w:szCs w:val="32"/>
        </w:rPr>
        <w:t>资产管理。</w:t>
      </w:r>
    </w:p>
    <w:p>
      <w:pPr>
        <w:numPr>
          <w:ilvl w:val="0"/>
          <w:numId w:val="0"/>
        </w:numPr>
        <w:spacing w:before="223" w:line="240" w:lineRule="auto"/>
        <w:ind w:firstLine="644" w:firstLineChars="200"/>
        <w:rPr>
          <w:rFonts w:ascii="仿宋" w:hAnsi="仿宋" w:eastAsia="仿宋" w:cs="仿宋"/>
          <w:spacing w:val="1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我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办</w:t>
      </w:r>
      <w:r>
        <w:rPr>
          <w:rFonts w:ascii="仿宋" w:hAnsi="仿宋" w:eastAsia="仿宋" w:cs="仿宋"/>
          <w:spacing w:val="1"/>
          <w:sz w:val="32"/>
          <w:szCs w:val="32"/>
        </w:rPr>
        <w:t>制定资产管理使用制度等，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确保</w:t>
      </w:r>
      <w:r>
        <w:rPr>
          <w:rFonts w:ascii="仿宋" w:hAnsi="仿宋" w:eastAsia="仿宋" w:cs="仿宋"/>
          <w:spacing w:val="1"/>
          <w:sz w:val="32"/>
          <w:szCs w:val="32"/>
        </w:rPr>
        <w:t>登记造册、账实一致、专人管理、保存完整、使用合规、配置合理、处置规范。</w:t>
      </w:r>
    </w:p>
    <w:p>
      <w:pPr>
        <w:numPr>
          <w:ilvl w:val="0"/>
          <w:numId w:val="0"/>
        </w:numPr>
        <w:spacing w:before="223" w:line="240" w:lineRule="auto"/>
        <w:ind w:firstLine="644" w:firstLineChars="200"/>
        <w:rPr>
          <w:rFonts w:ascii="仿宋" w:hAnsi="仿宋" w:eastAsia="仿宋" w:cs="仿宋"/>
          <w:spacing w:val="1"/>
          <w:sz w:val="32"/>
          <w:szCs w:val="32"/>
        </w:rPr>
      </w:pP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（</w:t>
      </w:r>
      <w:r>
        <w:rPr>
          <w:rFonts w:ascii="仿宋" w:hAnsi="仿宋" w:eastAsia="仿宋" w:cs="仿宋"/>
          <w:spacing w:val="1"/>
          <w:sz w:val="32"/>
          <w:szCs w:val="32"/>
        </w:rPr>
        <w:t>三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）</w:t>
      </w:r>
      <w:r>
        <w:rPr>
          <w:rFonts w:ascii="仿宋" w:hAnsi="仿宋" w:eastAsia="仿宋" w:cs="仿宋"/>
          <w:spacing w:val="1"/>
          <w:sz w:val="32"/>
          <w:szCs w:val="32"/>
        </w:rPr>
        <w:t>经费管理。</w:t>
      </w:r>
    </w:p>
    <w:p>
      <w:pPr>
        <w:numPr>
          <w:ilvl w:val="0"/>
          <w:numId w:val="0"/>
        </w:numPr>
        <w:spacing w:before="223" w:line="240" w:lineRule="auto"/>
        <w:ind w:firstLine="644" w:firstLineChars="200"/>
        <w:rPr>
          <w:rFonts w:ascii="仿宋" w:hAnsi="仿宋" w:eastAsia="仿宋" w:cs="仿宋"/>
          <w:spacing w:val="1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1. “三公经费”控制率。本年“三公经费”预算安排数</w:t>
      </w: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/>
        </w:rPr>
        <w:t>20.9</w:t>
      </w:r>
      <w:r>
        <w:rPr>
          <w:rFonts w:ascii="仿宋" w:hAnsi="仿宋" w:eastAsia="仿宋" w:cs="仿宋"/>
          <w:spacing w:val="1"/>
          <w:sz w:val="32"/>
          <w:szCs w:val="32"/>
        </w:rPr>
        <w:t>万元，实际支出数</w:t>
      </w: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/>
        </w:rPr>
        <w:t>13.75</w:t>
      </w:r>
      <w:r>
        <w:rPr>
          <w:rFonts w:ascii="仿宋" w:hAnsi="仿宋" w:eastAsia="仿宋" w:cs="仿宋"/>
          <w:spacing w:val="1"/>
          <w:sz w:val="32"/>
          <w:szCs w:val="32"/>
        </w:rPr>
        <w:t>万元，“三公经费”控制率</w:t>
      </w: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/>
        </w:rPr>
        <w:t>65.79</w:t>
      </w:r>
      <w:r>
        <w:rPr>
          <w:rFonts w:ascii="仿宋" w:hAnsi="仿宋" w:eastAsia="仿宋" w:cs="仿宋"/>
          <w:spacing w:val="1"/>
          <w:sz w:val="32"/>
          <w:szCs w:val="32"/>
        </w:rPr>
        <w:t>%。</w:t>
      </w:r>
    </w:p>
    <w:p>
      <w:pPr>
        <w:numPr>
          <w:ilvl w:val="0"/>
          <w:numId w:val="0"/>
        </w:numPr>
        <w:spacing w:before="223" w:line="240" w:lineRule="auto"/>
        <w:ind w:firstLine="644" w:firstLineChars="200"/>
        <w:rPr>
          <w:rFonts w:ascii="仿宋" w:hAnsi="仿宋" w:eastAsia="仿宋" w:cs="仿宋"/>
          <w:spacing w:val="1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计算公式：“三公经费”控制率</w:t>
      </w: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/>
        </w:rPr>
        <w:t>65.79</w:t>
      </w:r>
      <w:r>
        <w:rPr>
          <w:rFonts w:ascii="仿宋" w:hAnsi="仿宋" w:eastAsia="仿宋" w:cs="仿宋"/>
          <w:spacing w:val="1"/>
          <w:sz w:val="32"/>
          <w:szCs w:val="32"/>
        </w:rPr>
        <w:t>%=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（</w:t>
      </w:r>
      <w:r>
        <w:rPr>
          <w:rFonts w:ascii="仿宋" w:hAnsi="仿宋" w:eastAsia="仿宋" w:cs="仿宋"/>
          <w:spacing w:val="1"/>
          <w:sz w:val="32"/>
          <w:szCs w:val="32"/>
        </w:rPr>
        <w:t>“三公经费”实际支出数</w:t>
      </w: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/>
        </w:rPr>
        <w:t>13.75</w:t>
      </w:r>
      <w:r>
        <w:rPr>
          <w:rFonts w:ascii="仿宋" w:hAnsi="仿宋" w:eastAsia="仿宋" w:cs="仿宋"/>
          <w:spacing w:val="1"/>
          <w:sz w:val="32"/>
          <w:szCs w:val="32"/>
        </w:rPr>
        <w:t>万元/“三公经费”预算安排数</w:t>
      </w: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/>
        </w:rPr>
        <w:t>20.9</w:t>
      </w:r>
      <w:r>
        <w:rPr>
          <w:rFonts w:ascii="仿宋" w:hAnsi="仿宋" w:eastAsia="仿宋" w:cs="仿宋"/>
          <w:spacing w:val="1"/>
          <w:sz w:val="32"/>
          <w:szCs w:val="32"/>
        </w:rPr>
        <w:t>万元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）</w:t>
      </w:r>
      <w:r>
        <w:rPr>
          <w:rFonts w:ascii="仿宋" w:hAnsi="仿宋" w:eastAsia="仿宋" w:cs="仿宋"/>
          <w:spacing w:val="1"/>
          <w:sz w:val="32"/>
          <w:szCs w:val="32"/>
        </w:rPr>
        <w:t>×100%。</w:t>
      </w:r>
    </w:p>
    <w:p>
      <w:pPr>
        <w:numPr>
          <w:ilvl w:val="0"/>
          <w:numId w:val="0"/>
        </w:numPr>
        <w:spacing w:before="223" w:line="240" w:lineRule="auto"/>
        <w:ind w:firstLine="644" w:firstLineChars="200"/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  <w:r>
        <w:rPr>
          <w:rFonts w:ascii="仿宋" w:hAnsi="仿宋" w:eastAsia="仿宋" w:cs="仿宋"/>
          <w:spacing w:val="1"/>
          <w:sz w:val="32"/>
          <w:szCs w:val="32"/>
        </w:rPr>
        <w:t>2. “公用经费”控制率。本年“公用经费”预算安排数</w:t>
      </w: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/>
        </w:rPr>
        <w:t>166.75</w:t>
      </w:r>
      <w:r>
        <w:rPr>
          <w:rFonts w:ascii="仿宋" w:hAnsi="仿宋" w:eastAsia="仿宋" w:cs="仿宋"/>
          <w:spacing w:val="1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及实际支出数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125.77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万元，“公用经费”控制率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75.42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spacing w:before="223" w:line="240" w:lineRule="auto"/>
        <w:ind w:firstLine="644" w:firstLineChars="200"/>
        <w:rPr>
          <w:rFonts w:hint="eastAsia"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计算公式：公用经费控制率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75.42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%=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公用经费实际支出数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125.77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万元/公用经费预算安排数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166.75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×100%。</w:t>
      </w:r>
    </w:p>
    <w:p>
      <w:pPr>
        <w:numPr>
          <w:ilvl w:val="0"/>
          <w:numId w:val="0"/>
        </w:numPr>
        <w:spacing w:before="223" w:line="240" w:lineRule="auto"/>
        <w:ind w:firstLine="644" w:firstLineChars="200"/>
        <w:rPr>
          <w:rFonts w:hint="eastAsia"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四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在职人员控制率。机构编制部门核定单位编制数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65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 xml:space="preserve"> 人、当年年末单位实际在职人数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53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人、在职人员控制率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81.54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不存在超编现象。</w:t>
      </w:r>
    </w:p>
    <w:p>
      <w:pPr>
        <w:numPr>
          <w:ilvl w:val="0"/>
          <w:numId w:val="0"/>
        </w:numPr>
        <w:spacing w:before="223" w:line="240" w:lineRule="auto"/>
        <w:ind w:firstLine="644" w:firstLineChars="200"/>
        <w:rPr>
          <w:rFonts w:hint="eastAsia"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计算公式：在职人员控制率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81.54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%=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年末在职人员数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53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人/编制数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65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×100%。</w:t>
      </w:r>
    </w:p>
    <w:p>
      <w:pPr>
        <w:spacing w:before="202" w:line="240" w:lineRule="auto"/>
        <w:ind w:left="654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15"/>
          <w:sz w:val="32"/>
          <w:szCs w:val="32"/>
        </w:rPr>
        <w:t>六、</w:t>
      </w:r>
      <w:r>
        <w:rPr>
          <w:rFonts w:hint="eastAsia" w:ascii="仿宋_GB2312" w:hAnsi="仿宋_GB2312" w:eastAsia="仿宋_GB2312" w:cs="仿宋_GB2312"/>
          <w:spacing w:val="-8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15"/>
          <w:sz w:val="32"/>
          <w:szCs w:val="32"/>
        </w:rPr>
        <w:t>整体绩效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一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强化理论武装，牢牢把握正确政治方向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加强理论学习。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坚持“第一议题”制度，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发挥党组（党委）理论学习中心组示范带动作用和领导干部领学促学作用，今年来，两个支部召开支委会议共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次，党员大会共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8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次，党日活动共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18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引导党员干部切实增强“四个意识”，坚定“四个自信”，做到“两个维护”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严肃党内组织生活。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严格按照要求建立党建工作及活动全面日常纪实，落实好“三会一课”、支部主题党日、组织生活会、谈心谈话、民主评议党员和党员领导干部双重组织生活、讲党课、请示报告等制度，扎实开展 “灯下黑”问题治理工作。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加强党风廉政建设。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制定《2022年区党政办党风廉政建设和反腐败工作计划》，落实“两个责任”和“一岗双责”责任清单。认真开展巡查检查、谈心谈话、工作约谈等活动，共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开展谈心谈话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次，提醒谈话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（二）强化参谋服务，坚决抓好各项任务贯彻落实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突出以文辅政。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紧紧围绕区党委、管委会的决策部署，结合经开区实际，我办始终紧跟政策形势，高质量完成文稿起草任务。一年来，我办起草、修改、把关全区工作报告、领导讲话、工作汇报、会议纪要等各类文稿630多篇，共210多万字，及时将上级部署与湛江经开区、奋勇高新区经济社会发展情况有机统一起来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高标准、高质量抓好办文、办会和政务活动。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年共处理各类文件7238件，其中办理呈阅（批）6321件，审核制发917件。全年共出台《湛江经济技术开发区党政办公室关于印发〈湛江经济技术开发区法治政府建设实施意见〉的通知》等区党委规范性文件3件，经向市委报备审查，合法合规率达到100%，区党内法规制度建设工作考核全市排名第3。全年共办理各类会议1963场次，其中全国、省、市级会议1301场次，区级会议662场次；协调做好省委、省政府和市委、市政府等上级领导调研、重点项目考察推进等活动162场次，统筹协调区党委、管委会主要领导赴北京、上海等地拜会国家、省相关部门和开展考察学习、“上门招商”活动17批次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狠抓督查落实。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共承办市委、市政府督查部门交办的督办事项共358件788项工作；办理市人大、政协建议提案32件；对区党委、管委会的会议纪要跟踪督办21份、其他督办事项24件；办理广东省信访信息系统平台交办的信访工单9份、国务院互联网+督查和广东互联网+督查64份。同时，开展现场督查92次，配合市政府现场督查18次。与经开区疫情防控指挥部督查督办组督办疫情防控工作，开展现场督查68次，上报市防控督查督办组、区防控办工作情况汇报材料622份，编发督查情况59份；与区创文迎国检专项监督组开展创文迎国检落实情况专项监督，编发督查情况13份。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 xml:space="preserve">（三）强化服务保障，认真做好机要保密史志档案等工作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加强机要保密工作。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全年办理上级“三密”文件671份，其中中央级97份、省级94份、市级480份，全部办理完毕，没有出现差错和失涉密。配合上级部门做好专案侦查等工作4次，有效防范化解各类安全隐患。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扎实做好史志工作。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高质量完成年鉴、年报写作工作，经开区年鉴分别上报了市地方志办公室、商务部年鉴编辑部和城市年鉴编辑部各1份。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不断提升档案工作质量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。顺利完成区档案局整体搬迁工作，新库房档案整理上架全部完成。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（四）强化阵地建设，筑牢意识形态防线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加强意识形态工作。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建立多个专题进行24小时全网监测，累计及时监测并妥善处置网络舆情735宗，全年舆情网情平稳可控，舆论场正能量充沛。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积极营造良好宣传氛围。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创新融媒体时代新闻宣传，全年共在新华社新华网、人民网、《中国日报》《南方日报》等主流媒体发表新闻1036篇（次），在人民网络平台、“学习强国”等国家级媒体平台发布新闻62篇（次）。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认真做好政务公开工作。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全年办理依申请公开政府信息公开申请72宗，在规定时限内予以答复办结72宗。受理市转办政府信息公开申请、网民给省长留言、网民给市长留言等11宗及其他交办事项，均在规定时限内完成。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（五）强化宗旨意识，办好民生实事好事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认真做好群团工作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，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深入推进创文工作。</w:t>
      </w:r>
      <w:bookmarkStart w:id="0" w:name="_GoBack"/>
      <w:bookmarkEnd w:id="0"/>
    </w:p>
    <w:p>
      <w:pPr>
        <w:spacing w:before="288" w:line="240" w:lineRule="auto"/>
        <w:ind w:firstLine="643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七、存在问题</w:t>
      </w:r>
    </w:p>
    <w:p>
      <w:pPr>
        <w:spacing w:before="208" w:line="240" w:lineRule="auto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4"/>
          <w:position w:val="18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pacing w:val="-4"/>
          <w:position w:val="18"/>
          <w:sz w:val="32"/>
          <w:szCs w:val="32"/>
        </w:rPr>
        <w:t>部分项目资金支付进度滞后，资金使用效益有待进</w:t>
      </w:r>
      <w:r>
        <w:rPr>
          <w:rFonts w:hint="eastAsia" w:ascii="仿宋_GB2312" w:hAnsi="仿宋_GB2312" w:eastAsia="仿宋_GB2312" w:cs="仿宋_GB2312"/>
          <w:spacing w:val="-4"/>
          <w:position w:val="18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pacing w:val="-4"/>
          <w:position w:val="18"/>
          <w:sz w:val="32"/>
          <w:szCs w:val="32"/>
        </w:rPr>
        <w:t>步提</w:t>
      </w:r>
      <w:r>
        <w:rPr>
          <w:rFonts w:hint="eastAsia" w:ascii="仿宋_GB2312" w:hAnsi="仿宋_GB2312" w:eastAsia="仿宋_GB2312" w:cs="仿宋_GB2312"/>
          <w:spacing w:val="-4"/>
          <w:position w:val="18"/>
          <w:sz w:val="32"/>
          <w:szCs w:val="32"/>
          <w:lang w:eastAsia="zh-CN"/>
        </w:rPr>
        <w:t>高。</w:t>
      </w:r>
    </w:p>
    <w:p>
      <w:pPr>
        <w:spacing w:before="173" w:line="240" w:lineRule="auto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4"/>
          <w:position w:val="19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pacing w:val="-4"/>
          <w:position w:val="19"/>
          <w:sz w:val="32"/>
          <w:szCs w:val="32"/>
        </w:rPr>
        <w:t>预算编制的合理性需要提高，预算执行力度还要进一步加</w:t>
      </w:r>
      <w:r>
        <w:rPr>
          <w:rFonts w:hint="eastAsia" w:ascii="仿宋_GB2312" w:hAnsi="仿宋_GB2312" w:eastAsia="仿宋_GB2312" w:cs="仿宋_GB2312"/>
          <w:spacing w:val="-4"/>
          <w:position w:val="19"/>
          <w:sz w:val="32"/>
          <w:szCs w:val="32"/>
          <w:lang w:eastAsia="zh-CN"/>
        </w:rPr>
        <w:t>强。</w:t>
      </w:r>
    </w:p>
    <w:p>
      <w:pPr>
        <w:spacing w:before="196" w:line="240" w:lineRule="auto"/>
        <w:ind w:left="634"/>
        <w:outlineLvl w:val="0"/>
        <w:rPr>
          <w:rFonts w:hint="eastAsia" w:ascii="仿宋_GB2312" w:hAnsi="仿宋_GB2312" w:eastAsia="仿宋_GB2312" w:cs="仿宋_GB2312"/>
          <w:b/>
          <w:bCs/>
          <w:spacing w:val="-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12"/>
          <w:sz w:val="32"/>
          <w:szCs w:val="32"/>
        </w:rPr>
        <w:t>八、</w:t>
      </w:r>
      <w:r>
        <w:rPr>
          <w:rFonts w:hint="eastAsia" w:ascii="仿宋_GB2312" w:hAnsi="仿宋_GB2312" w:eastAsia="仿宋_GB2312" w:cs="仿宋_GB2312"/>
          <w:spacing w:val="-6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12"/>
          <w:sz w:val="32"/>
          <w:szCs w:val="32"/>
        </w:rPr>
        <w:t>今后改进措施</w:t>
      </w:r>
    </w:p>
    <w:p>
      <w:pPr>
        <w:spacing w:before="196" w:line="240" w:lineRule="auto"/>
        <w:ind w:firstLine="624" w:firstLineChars="200"/>
        <w:outlineLvl w:val="0"/>
        <w:rPr>
          <w:rFonts w:hint="eastAsia" w:ascii="仿宋_GB2312" w:hAnsi="仿宋_GB2312" w:eastAsia="仿宋_GB2312" w:cs="仿宋_GB2312"/>
          <w:spacing w:val="-5"/>
          <w:position w:val="19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4"/>
          <w:position w:val="18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pacing w:val="-4"/>
          <w:position w:val="19"/>
          <w:sz w:val="32"/>
          <w:szCs w:val="32"/>
        </w:rPr>
        <w:t>严格执行预算管理规定，科学编制预算。进一步提高</w:t>
      </w:r>
      <w:r>
        <w:rPr>
          <w:rFonts w:hint="eastAsia" w:ascii="仿宋_GB2312" w:hAnsi="仿宋_GB2312" w:eastAsia="仿宋_GB2312" w:cs="仿宋_GB2312"/>
          <w:spacing w:val="-5"/>
          <w:position w:val="19"/>
          <w:sz w:val="32"/>
          <w:szCs w:val="32"/>
        </w:rPr>
        <w:t>预</w:t>
      </w:r>
      <w:r>
        <w:rPr>
          <w:rFonts w:hint="eastAsia" w:ascii="仿宋_GB2312" w:hAnsi="仿宋_GB2312" w:eastAsia="仿宋_GB2312" w:cs="仿宋_GB2312"/>
          <w:spacing w:val="-5"/>
          <w:position w:val="19"/>
          <w:sz w:val="32"/>
          <w:szCs w:val="32"/>
          <w:lang w:eastAsia="zh-CN"/>
        </w:rPr>
        <w:t>算编制的科学性、合理性、严谨性。</w:t>
      </w:r>
    </w:p>
    <w:p>
      <w:pPr>
        <w:spacing w:before="196" w:line="240" w:lineRule="auto"/>
        <w:ind w:firstLine="636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进一步加强项目资金管理。加强项目开展事前事中事后的跟踪和支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出进度的控制，规范专项资金管理，提高专项资金的使用效益。</w:t>
      </w:r>
    </w:p>
    <w:p>
      <w:pPr>
        <w:spacing w:before="195" w:line="240" w:lineRule="auto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4"/>
          <w:position w:val="19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pacing w:val="-4"/>
          <w:position w:val="19"/>
          <w:sz w:val="32"/>
          <w:szCs w:val="32"/>
        </w:rPr>
        <w:t>进一步完善内部管理制度，健全单位财务管理制度，规范</w:t>
      </w:r>
      <w:r>
        <w:rPr>
          <w:rFonts w:hint="eastAsia" w:ascii="仿宋_GB2312" w:hAnsi="仿宋_GB2312" w:eastAsia="仿宋_GB2312" w:cs="仿宋_GB2312"/>
          <w:spacing w:val="-4"/>
          <w:position w:val="19"/>
          <w:sz w:val="32"/>
          <w:szCs w:val="32"/>
          <w:lang w:eastAsia="zh-CN"/>
        </w:rPr>
        <w:t>我办财务行为。</w:t>
      </w:r>
    </w:p>
    <w:p>
      <w:pPr>
        <w:pStyle w:val="2"/>
        <w:spacing w:line="240" w:lineRule="auto"/>
      </w:pPr>
    </w:p>
    <w:p>
      <w:pPr>
        <w:pStyle w:val="2"/>
      </w:pPr>
    </w:p>
    <w:p>
      <w:pPr>
        <w:numPr>
          <w:ilvl w:val="0"/>
          <w:numId w:val="0"/>
        </w:numPr>
        <w:spacing w:before="223" w:line="240" w:lineRule="auto"/>
        <w:ind w:firstLine="644" w:firstLineChars="200"/>
        <w:rPr>
          <w:rFonts w:hint="eastAsia" w:ascii="仿宋" w:hAnsi="仿宋" w:eastAsia="仿宋" w:cs="仿宋"/>
          <w:spacing w:val="1"/>
          <w:sz w:val="32"/>
          <w:szCs w:val="32"/>
          <w:lang w:val="en-US" w:eastAsia="zh-CN"/>
        </w:rPr>
      </w:pPr>
    </w:p>
    <w:p>
      <w:pPr>
        <w:spacing w:line="360" w:lineRule="auto"/>
        <w:ind w:firstLine="640" w:firstLineChars="200"/>
        <w:jc w:val="lef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449"/>
      <w:rPr>
        <w:rFonts w:ascii="宋体" w:hAnsi="宋体" w:eastAsia="宋体" w:cs="宋体"/>
        <w:sz w:val="15"/>
        <w:szCs w:val="15"/>
      </w:rPr>
    </w:pPr>
    <w:r>
      <w:rPr>
        <w:sz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118FC9"/>
    <w:multiLevelType w:val="singleLevel"/>
    <w:tmpl w:val="B5118FC9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E3D3359"/>
    <w:multiLevelType w:val="singleLevel"/>
    <w:tmpl w:val="EE3D3359"/>
    <w:lvl w:ilvl="0" w:tentative="0">
      <w:start w:val="4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2">
    <w:nsid w:val="116B07AA"/>
    <w:multiLevelType w:val="singleLevel"/>
    <w:tmpl w:val="116B07AA"/>
    <w:lvl w:ilvl="0" w:tentative="0">
      <w:start w:val="2"/>
      <w:numFmt w:val="decimal"/>
      <w:suff w:val="nothing"/>
      <w:lvlText w:val="（%1）"/>
      <w:lvlJc w:val="left"/>
    </w:lvl>
  </w:abstractNum>
  <w:abstractNum w:abstractNumId="3">
    <w:nsid w:val="2CF4F74D"/>
    <w:multiLevelType w:val="singleLevel"/>
    <w:tmpl w:val="2CF4F74D"/>
    <w:lvl w:ilvl="0" w:tentative="0">
      <w:start w:val="1"/>
      <w:numFmt w:val="decimal"/>
      <w:suff w:val="nothing"/>
      <w:lvlText w:val="%1．"/>
      <w:lvlJc w:val="left"/>
    </w:lvl>
  </w:abstractNum>
  <w:abstractNum w:abstractNumId="4">
    <w:nsid w:val="2F8E07DB"/>
    <w:multiLevelType w:val="singleLevel"/>
    <w:tmpl w:val="2F8E07DB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3MjAwYmU2MjQ5NTAwNjA3MjY0ZjIzYzQyNDlhNjUifQ=="/>
  </w:docVars>
  <w:rsids>
    <w:rsidRoot w:val="29DC047F"/>
    <w:rsid w:val="01633E9B"/>
    <w:rsid w:val="04A80D30"/>
    <w:rsid w:val="13EE1FD6"/>
    <w:rsid w:val="1A085187"/>
    <w:rsid w:val="22DA66CA"/>
    <w:rsid w:val="28D90D51"/>
    <w:rsid w:val="29DC047F"/>
    <w:rsid w:val="2F6247FB"/>
    <w:rsid w:val="3E15667F"/>
    <w:rsid w:val="43646B91"/>
    <w:rsid w:val="4D8A7C2C"/>
    <w:rsid w:val="5273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200" w:firstLineChars="200"/>
      <w:jc w:val="both"/>
    </w:pPr>
    <w:rPr>
      <w:rFonts w:hint="default" w:ascii="Calibri" w:hAnsi="Calibri" w:eastAsia="宋体" w:cs="黑体"/>
      <w:kern w:val="2"/>
      <w:sz w:val="24"/>
      <w:szCs w:val="24"/>
      <w:lang w:val="en-US" w:eastAsia="zh-CN" w:bidi="ar"/>
    </w:rPr>
  </w:style>
  <w:style w:type="paragraph" w:customStyle="1" w:styleId="3">
    <w:name w:val="正文 New New New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NormalCharacter"/>
    <w:qFormat/>
    <w:uiPriority w:val="0"/>
  </w:style>
  <w:style w:type="character" w:customStyle="1" w:styleId="10">
    <w:name w:val="font1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41"/>
    <w:basedOn w:val="7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chart" Target="charts/chart3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&#24037;&#20316;&#31807;1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&#24037;&#20316;&#31807;1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oleObject" Target="&#24037;&#20316;&#31807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rgbClr val="595959">
                    <a:lumMod val="65000"/>
                    <a:lumOff val="35000"/>
                  </a:srgbClr>
                </a:solidFill>
                <a:latin typeface="+mn-lt"/>
                <a:ea typeface="+mn-ea"/>
                <a:cs typeface="+mn-cs"/>
              </a:defRPr>
            </a:pPr>
            <a:r>
              <a:t>与上年度收支预算对比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68915628630865"/>
          <c:y val="0.0278"/>
          <c:w val="0.787416666666667"/>
          <c:h val="0.870925925925926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4F81BD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[工作簿1]Sheet1!$B$4:$B$5</c:f>
              <c:strCache>
                <c:ptCount val="2"/>
                <c:pt idx="0">
                  <c:v>2021年度收支预算</c:v>
                </c:pt>
                <c:pt idx="1">
                  <c:v>2022年度收支预算</c:v>
                </c:pt>
              </c:strCache>
            </c:strRef>
          </c:cat>
          <c:val>
            <c:numRef>
              <c:f>[工作簿1]Sheet1!$C$4:$C$5</c:f>
              <c:numCache>
                <c:formatCode>#,##0.00</c:formatCode>
                <c:ptCount val="2"/>
                <c:pt idx="0">
                  <c:v>32558600</c:v>
                </c:pt>
                <c:pt idx="1">
                  <c:v>32351100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35495526"/>
        <c:axId val="330355202"/>
      </c:barChart>
      <c:catAx>
        <c:axId val="23549552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rgbClr val="D9D9D9">
                <a:lumMod val="15000"/>
                <a:lumOff val="85000"/>
              </a:srgb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rgbClr val="595959">
                    <a:lumMod val="65000"/>
                    <a:lumOff val="35000"/>
                  </a:srgbClr>
                </a:solidFill>
                <a:latin typeface="+mn-lt"/>
                <a:ea typeface="+mn-ea"/>
                <a:cs typeface="+mn-cs"/>
              </a:defRPr>
            </a:pPr>
          </a:p>
        </c:txPr>
        <c:crossAx val="330355202"/>
        <c:crosses val="autoZero"/>
        <c:auto val="1"/>
        <c:lblAlgn val="ctr"/>
        <c:lblOffset val="100"/>
        <c:noMultiLvlLbl val="0"/>
      </c:catAx>
      <c:valAx>
        <c:axId val="33035520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rgbClr val="D9D9D9">
                  <a:lumMod val="15000"/>
                  <a:lumOff val="85000"/>
                </a:srgb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rgbClr val="595959">
                    <a:lumMod val="65000"/>
                    <a:lumOff val="35000"/>
                  </a:srgbClr>
                </a:solidFill>
                <a:latin typeface="+mn-lt"/>
                <a:ea typeface="+mn-ea"/>
                <a:cs typeface="+mn-cs"/>
              </a:defRPr>
            </a:pPr>
          </a:p>
        </c:txPr>
        <c:crossAx val="23549552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rgbClr val="FFFFFF"/>
    </a:solidFill>
    <a:ln w="9525" cap="flat" cmpd="sng" algn="ctr">
      <a:solidFill>
        <a:srgbClr val="D9D9D9">
          <a:lumMod val="15000"/>
          <a:lumOff val="85000"/>
        </a:srgb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与上年收支预算执行对比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4F81BD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[工作簿1]Sheet1!$B$20:$B$21</c:f>
              <c:strCache>
                <c:ptCount val="2"/>
                <c:pt idx="0">
                  <c:v>2021年度收支执行数</c:v>
                </c:pt>
                <c:pt idx="1">
                  <c:v>2022年度收支执行数</c:v>
                </c:pt>
              </c:strCache>
            </c:strRef>
          </c:cat>
          <c:val>
            <c:numRef>
              <c:f>[工作簿1]Sheet1!$C$20:$C$21</c:f>
              <c:numCache>
                <c:formatCode>#,##0.00</c:formatCode>
                <c:ptCount val="2"/>
                <c:pt idx="0">
                  <c:v>36103019.48</c:v>
                </c:pt>
                <c:pt idx="1">
                  <c:v>36638677.13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825527891"/>
        <c:axId val="742047387"/>
      </c:lineChart>
      <c:catAx>
        <c:axId val="825527891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42047387"/>
        <c:crosses val="autoZero"/>
        <c:auto val="1"/>
        <c:lblAlgn val="ctr"/>
        <c:lblOffset val="100"/>
        <c:noMultiLvlLbl val="0"/>
      </c:catAx>
      <c:valAx>
        <c:axId val="74204738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2552789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rgbClr val="595959">
                    <a:lumMod val="65000"/>
                    <a:lumOff val="35000"/>
                  </a:srgbClr>
                </a:solidFill>
                <a:latin typeface="+mn-lt"/>
                <a:ea typeface="+mn-ea"/>
                <a:cs typeface="+mn-cs"/>
              </a:defRPr>
            </a:pPr>
            <a:r>
              <a:t>收入占比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347777777777778"/>
          <c:y val="0.159437562562563"/>
          <c:w val="0.32625"/>
          <c:h val="0.47027027027027"/>
        </c:manualLayout>
      </c:layout>
      <c:pieChart>
        <c:varyColors val="1"/>
        <c:ser>
          <c:idx val="0"/>
          <c:order val="0"/>
          <c:spPr/>
          <c:explosion val="0"/>
          <c:dPt>
            <c:idx val="0"/>
            <c:bubble3D val="0"/>
            <c:spPr>
              <a:solidFill>
                <a:srgbClr val="4F81BD"/>
              </a:solidFill>
              <a:ln w="19050">
                <a:solidFill>
                  <a:srgbClr val="FFFFFF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C0504D"/>
              </a:solidFill>
              <a:ln w="19050">
                <a:solidFill>
                  <a:srgbClr val="FFFFFF"/>
                </a:solidFill>
              </a:ln>
              <a:effectLst/>
            </c:spPr>
          </c:dPt>
          <c:dLbls>
            <c:delete val="1"/>
          </c:dLbls>
          <c:cat>
            <c:strRef>
              <c:f>[工作簿1]Sheet1!$B$38:$B$39</c:f>
              <c:strCache>
                <c:ptCount val="2"/>
                <c:pt idx="0">
                  <c:v>一、一般公共预算财政拨款收入</c:v>
                </c:pt>
                <c:pt idx="1">
                  <c:v>二、政府性基金预算财政拨款收入</c:v>
                </c:pt>
              </c:strCache>
            </c:strRef>
          </c:cat>
          <c:val>
            <c:numRef>
              <c:f>[工作簿1]Sheet1!$C$38:$C$39</c:f>
              <c:numCache>
                <c:formatCode>#,##0.00</c:formatCode>
                <c:ptCount val="2"/>
                <c:pt idx="0">
                  <c:v>36569677.13</c:v>
                </c:pt>
                <c:pt idx="1">
                  <c:v>69000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rgbClr val="595959">
                  <a:lumMod val="65000"/>
                  <a:lumOff val="35000"/>
                </a:srgb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rgbClr val="FFFFFF"/>
    </a:solidFill>
    <a:ln w="9525" cap="flat" cmpd="sng" algn="ctr">
      <a:solidFill>
        <a:srgbClr val="D9D9D9">
          <a:lumMod val="15000"/>
          <a:lumOff val="85000"/>
        </a:srgb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rgbClr val="4F81BD"/>
  <a:srgbClr val="C0504D"/>
  <a:srgbClr val="9BBB59"/>
  <a:srgbClr val="8064A2"/>
  <a:srgbClr val="4BACC6"/>
  <a:srgbClr val="F7964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rgbClr val="4F81BD"/>
  <a:srgbClr val="C0504D"/>
  <a:srgbClr val="9BBB59"/>
  <a:srgbClr val="8064A2"/>
  <a:srgbClr val="4BACC6"/>
  <a:srgbClr val="F7964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rgbClr val="4F81BD"/>
  <a:srgbClr val="C0504D"/>
  <a:srgbClr val="9BBB59"/>
  <a:srgbClr val="8064A2"/>
  <a:srgbClr val="4BACC6"/>
  <a:srgbClr val="F7964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rgbClr val="595959">
        <a:lumMod val="65000"/>
        <a:lumOff val="35000"/>
      </a:srgbClr>
    </cs:fontRef>
    <cs:defRPr sz="1000" kern="1200"/>
  </cs:axisTitle>
  <cs:categoryAxis>
    <cs:lnRef idx="0"/>
    <cs:fillRef idx="0"/>
    <cs:effectRef idx="0"/>
    <cs:fontRef idx="minor">
      <a:srgbClr val="595959">
        <a:lumMod val="65000"/>
        <a:lumOff val="35000"/>
      </a:srgbClr>
    </cs:fontRef>
    <cs:spPr>
      <a:ln w="9525" cap="flat" cmpd="sng" algn="ctr">
        <a:solidFill>
          <a:srgbClr val="D9D9D9">
            <a:lumMod val="15000"/>
            <a:lumOff val="85000"/>
          </a:srgb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rgbClr val="000000"/>
    </cs:fontRef>
    <cs:spPr>
      <a:solidFill>
        <a:srgbClr val="FFFFFF"/>
      </a:solidFill>
      <a:ln w="9525" cap="flat" cmpd="sng" algn="ctr">
        <a:solidFill>
          <a:srgbClr val="D9D9D9">
            <a:lumMod val="15000"/>
            <a:lumOff val="85000"/>
          </a:srgbClr>
        </a:solidFill>
        <a:round/>
      </a:ln>
    </cs:spPr>
    <cs:defRPr sz="1000" kern="1200"/>
  </cs:chartArea>
  <cs:dataLabel>
    <cs:lnRef idx="0"/>
    <cs:fillRef idx="0"/>
    <cs:effectRef idx="0"/>
    <cs:fontRef idx="minor">
      <a:srgbClr val="404040">
        <a:lumMod val="75000"/>
        <a:lumOff val="25000"/>
      </a:srgbClr>
    </cs:fontRef>
    <cs:defRPr sz="900" kern="1200"/>
  </cs:dataLabel>
  <cs:dataLabelCallout>
    <cs:lnRef idx="0"/>
    <cs:fillRef idx="0"/>
    <cs:effectRef idx="0"/>
    <cs:fontRef idx="minor">
      <a:srgbClr val="595959">
        <a:lumMod val="65000"/>
        <a:lumOff val="35000"/>
      </a:srgbClr>
    </cs:fontRef>
    <cs:spPr>
      <a:solidFill>
        <a:srgbClr val="FFFFFF"/>
      </a:solidFill>
      <a:ln>
        <a:solidFill>
          <a:srgbClr val="BFBFBF">
            <a:lumMod val="25000"/>
            <a:lumOff val="75000"/>
          </a:srgb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rgbClr val="000000"/>
    </cs:fontRef>
  </cs:dataPoint>
  <cs:dataPoint3D>
    <cs:lnRef idx="0"/>
    <cs:fillRef idx="1">
      <cs:styleClr val="auto"/>
    </cs:fillRef>
    <cs:effectRef idx="0"/>
    <cs:fontRef idx="minor">
      <a:srgbClr val="000000"/>
    </cs:fontRef>
  </cs:dataPoint3D>
  <cs:dataPointLine>
    <cs:lnRef idx="0">
      <cs:styleClr val="auto"/>
    </cs:lnRef>
    <cs:fillRef idx="1"/>
    <cs:effectRef idx="0"/>
    <cs:fontRef idx="minor">
      <a:srgbClr val="000000"/>
    </cs:fontRef>
    <cs:spPr>
      <a:ln w="28575" cap="rnd">
        <a:solidFill>
          <a:srgbClr val="FFFFFF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rgbClr val="000000"/>
    </cs:fontRef>
    <cs:spPr>
      <a:ln w="9525">
        <a:solidFill>
          <a:srgbClr val="FFFFFF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rgbClr val="000000"/>
    </cs:fontRef>
    <cs:spPr>
      <a:ln w="9525" cap="rnd">
        <a:solidFill>
          <a:srgbClr val="FFFFFF"/>
        </a:solidFill>
        <a:round/>
      </a:ln>
    </cs:spPr>
  </cs:dataPointWireframe>
  <cs:dataTable>
    <cs:lnRef idx="0"/>
    <cs:fillRef idx="0"/>
    <cs:effectRef idx="0"/>
    <cs:fontRef idx="minor">
      <a:srgbClr val="595959">
        <a:lumMod val="65000"/>
        <a:lumOff val="35000"/>
      </a:srgbClr>
    </cs:fontRef>
    <cs:spPr>
      <a:noFill/>
      <a:ln w="9525" cap="flat" cmpd="sng" algn="ctr">
        <a:solidFill>
          <a:srgbClr val="D9D9D9">
            <a:lumMod val="15000"/>
            <a:lumOff val="85000"/>
          </a:srgbClr>
        </a:solidFill>
        <a:round/>
      </a:ln>
    </cs:spPr>
    <cs:defRPr sz="900" kern="1200"/>
  </cs:dataTable>
  <cs:downBar>
    <cs:lnRef idx="0"/>
    <cs:fillRef idx="0"/>
    <cs:effectRef idx="0"/>
    <cs:fontRef idx="minor">
      <a:srgbClr val="000000"/>
    </cs:fontRef>
    <cs:spPr>
      <a:solidFill>
        <a:srgbClr val="595959">
          <a:lumMod val="65000"/>
          <a:lumOff val="35000"/>
        </a:srgbClr>
      </a:solidFill>
      <a:ln w="9525">
        <a:solidFill>
          <a:srgbClr val="595959">
            <a:lumMod val="65000"/>
            <a:lumOff val="35000"/>
          </a:srgbClr>
        </a:solidFill>
      </a:ln>
    </cs:spPr>
  </cs:downBar>
  <cs:dropLine>
    <cs:lnRef idx="0"/>
    <cs:fillRef idx="0"/>
    <cs:effectRef idx="0"/>
    <cs:fontRef idx="minor">
      <a:srgbClr val="000000"/>
    </cs:fontRef>
    <cs:spPr>
      <a:ln w="9525" cap="flat" cmpd="sng" algn="ctr">
        <a:solidFill>
          <a:srgbClr val="A6A6A6">
            <a:lumMod val="35000"/>
            <a:lumOff val="65000"/>
          </a:srgbClr>
        </a:solidFill>
        <a:round/>
      </a:ln>
    </cs:spPr>
  </cs:dropLine>
  <cs:errorBar>
    <cs:lnRef idx="0"/>
    <cs:fillRef idx="0"/>
    <cs:effectRef idx="0"/>
    <cs:fontRef idx="minor">
      <a:srgbClr val="000000"/>
    </cs:fontRef>
    <cs:spPr>
      <a:ln w="9525" cap="flat" cmpd="sng" algn="ctr">
        <a:solidFill>
          <a:srgbClr val="595959">
            <a:lumMod val="65000"/>
            <a:lumOff val="35000"/>
          </a:srgbClr>
        </a:solidFill>
        <a:round/>
      </a:ln>
    </cs:spPr>
  </cs:errorBar>
  <cs:floor>
    <cs:lnRef idx="0"/>
    <cs:fillRef idx="0"/>
    <cs:effectRef idx="0"/>
    <cs:fontRef idx="minor">
      <a:srgbClr val="000000"/>
    </cs:fontRef>
    <cs:spPr>
      <a:noFill/>
      <a:ln>
        <a:noFill/>
      </a:ln>
    </cs:spPr>
  </cs:floor>
  <cs:gridlineMajor>
    <cs:lnRef idx="0"/>
    <cs:fillRef idx="0"/>
    <cs:effectRef idx="0"/>
    <cs:fontRef idx="minor">
      <a:srgbClr val="000000"/>
    </cs:fontRef>
    <cs:spPr>
      <a:ln w="9525" cap="flat" cmpd="sng" algn="ctr">
        <a:solidFill>
          <a:srgbClr val="D9D9D9">
            <a:lumMod val="15000"/>
            <a:lumOff val="85000"/>
          </a:srgbClr>
        </a:solidFill>
        <a:round/>
      </a:ln>
    </cs:spPr>
  </cs:gridlineMajor>
  <cs:gridlineMinor>
    <cs:lnRef idx="0"/>
    <cs:fillRef idx="0"/>
    <cs:effectRef idx="0"/>
    <cs:fontRef idx="minor">
      <a:srgbClr val="000000"/>
    </cs:fontRef>
    <cs:spPr>
      <a:ln w="9525" cap="flat" cmpd="sng" algn="ctr">
        <a:solidFill>
          <a:srgbClr val="F2F2F2">
            <a:lumMod val="5000"/>
            <a:lumOff val="95000"/>
          </a:srgbClr>
        </a:solidFill>
        <a:round/>
      </a:ln>
    </cs:spPr>
  </cs:gridlineMinor>
  <cs:hiLoLine>
    <cs:lnRef idx="0"/>
    <cs:fillRef idx="0"/>
    <cs:effectRef idx="0"/>
    <cs:fontRef idx="minor">
      <a:srgbClr val="000000"/>
    </cs:fontRef>
    <cs:spPr>
      <a:ln w="9525" cap="flat" cmpd="sng" algn="ctr">
        <a:solidFill>
          <a:srgbClr val="404040">
            <a:lumMod val="75000"/>
            <a:lumOff val="25000"/>
          </a:srgbClr>
        </a:solidFill>
        <a:round/>
      </a:ln>
    </cs:spPr>
  </cs:hiLoLine>
  <cs:leaderLine>
    <cs:lnRef idx="0"/>
    <cs:fillRef idx="0"/>
    <cs:effectRef idx="0"/>
    <cs:fontRef idx="minor">
      <a:srgbClr val="000000"/>
    </cs:fontRef>
    <cs:spPr>
      <a:ln w="9525" cap="flat" cmpd="sng" algn="ctr">
        <a:solidFill>
          <a:srgbClr val="A6A6A6">
            <a:lumMod val="35000"/>
            <a:lumOff val="65000"/>
          </a:srgbClr>
        </a:solidFill>
        <a:round/>
      </a:ln>
    </cs:spPr>
  </cs:leaderLine>
  <cs:legend>
    <cs:lnRef idx="0"/>
    <cs:fillRef idx="0"/>
    <cs:effectRef idx="0"/>
    <cs:fontRef idx="minor">
      <a:srgbClr val="595959">
        <a:lumMod val="65000"/>
        <a:lumOff val="35000"/>
      </a:srgbClr>
    </cs:fontRef>
    <cs:defRPr sz="900" kern="1200"/>
  </cs:legend>
  <cs:plotArea mods="allowNoFillOverride allowNoLineOverride">
    <cs:lnRef idx="0"/>
    <cs:fillRef idx="0"/>
    <cs:effectRef idx="0"/>
    <cs:fontRef idx="minor">
      <a:srgbClr val="000000"/>
    </cs:fontRef>
  </cs:plotArea>
  <cs:plotArea3D mods="allowNoFillOverride allowNoLineOverride">
    <cs:lnRef idx="0"/>
    <cs:fillRef idx="0"/>
    <cs:effectRef idx="0"/>
    <cs:fontRef idx="minor">
      <a:srgbClr val="000000"/>
    </cs:fontRef>
  </cs:plotArea3D>
  <cs:seriesAxis>
    <cs:lnRef idx="0"/>
    <cs:fillRef idx="0"/>
    <cs:effectRef idx="0"/>
    <cs:fontRef idx="minor">
      <a:srgbClr val="595959">
        <a:lumMod val="65000"/>
        <a:lumOff val="35000"/>
      </a:srgbClr>
    </cs:fontRef>
    <cs:defRPr sz="900" kern="1200"/>
  </cs:seriesAxis>
  <cs:seriesLine>
    <cs:lnRef idx="0"/>
    <cs:fillRef idx="0"/>
    <cs:effectRef idx="0"/>
    <cs:fontRef idx="minor">
      <a:srgbClr val="000000"/>
    </cs:fontRef>
    <cs:spPr>
      <a:ln w="9525" cap="flat" cmpd="sng" algn="ctr">
        <a:solidFill>
          <a:srgbClr val="A6A6A6">
            <a:lumMod val="35000"/>
            <a:lumOff val="65000"/>
          </a:srgbClr>
        </a:solidFill>
        <a:round/>
      </a:ln>
    </cs:spPr>
  </cs:seriesLine>
  <cs:title>
    <cs:lnRef idx="0"/>
    <cs:fillRef idx="0"/>
    <cs:effectRef idx="0"/>
    <cs:fontRef idx="minor">
      <a:srgbClr val="595959">
        <a:lumMod val="65000"/>
        <a:lumOff val="35000"/>
      </a:srgb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rgbClr val="000000"/>
    </cs:fontRef>
    <cs:spPr>
      <a:ln w="19050" cap="rnd">
        <a:solidFill>
          <a:srgbClr val="FFFFFF"/>
        </a:solidFill>
        <a:prstDash val="sysDot"/>
      </a:ln>
    </cs:spPr>
  </cs:trendline>
  <cs:trendlineLabel>
    <cs:lnRef idx="0"/>
    <cs:fillRef idx="0"/>
    <cs:effectRef idx="0"/>
    <cs:fontRef idx="minor">
      <a:srgbClr val="595959">
        <a:lumMod val="65000"/>
        <a:lumOff val="35000"/>
      </a:srgbClr>
    </cs:fontRef>
    <cs:defRPr sz="900" kern="1200"/>
  </cs:trendlineLabel>
  <cs:upBar>
    <cs:lnRef idx="0"/>
    <cs:fillRef idx="0"/>
    <cs:effectRef idx="0"/>
    <cs:fontRef idx="minor">
      <a:srgbClr val="000000"/>
    </cs:fontRef>
    <cs:spPr>
      <a:solidFill>
        <a:srgbClr val="FFFFFF"/>
      </a:solidFill>
      <a:ln w="9525">
        <a:solidFill>
          <a:srgbClr val="D9D9D9">
            <a:lumMod val="15000"/>
            <a:lumOff val="85000"/>
          </a:srgbClr>
        </a:solidFill>
      </a:ln>
    </cs:spPr>
  </cs:upBar>
  <cs:valueAxis>
    <cs:lnRef idx="0"/>
    <cs:fillRef idx="0"/>
    <cs:effectRef idx="0"/>
    <cs:fontRef idx="minor">
      <a:srgbClr val="595959">
        <a:lumMod val="65000"/>
        <a:lumOff val="35000"/>
      </a:srgbClr>
    </cs:fontRef>
    <cs:defRPr sz="900" kern="1200"/>
  </cs:valueAxis>
  <cs:wall>
    <cs:lnRef idx="0"/>
    <cs:fillRef idx="0"/>
    <cs:effectRef idx="0"/>
    <cs:fontRef idx="minor">
      <a:srgbClr val="000000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rgbClr val="595959">
        <a:lumMod val="65000"/>
        <a:lumOff val="35000"/>
      </a:srgbClr>
    </cs:fontRef>
    <cs:defRPr sz="1000" kern="1200"/>
  </cs:axisTitle>
  <cs:categoryAxis>
    <cs:lnRef idx="0"/>
    <cs:fillRef idx="0"/>
    <cs:effectRef idx="0"/>
    <cs:fontRef idx="minor">
      <a:srgbClr val="595959">
        <a:lumMod val="65000"/>
        <a:lumOff val="35000"/>
      </a:srgbClr>
    </cs:fontRef>
    <cs:spPr>
      <a:ln w="9525" cap="flat" cmpd="sng" algn="ctr">
        <a:solidFill>
          <a:srgbClr val="D9D9D9">
            <a:lumMod val="15000"/>
            <a:lumOff val="85000"/>
          </a:srgb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rgbClr val="000000"/>
    </cs:fontRef>
    <cs:spPr>
      <a:solidFill>
        <a:srgbClr val="FFFFFF"/>
      </a:solidFill>
      <a:ln w="9525" cap="flat" cmpd="sng" algn="ctr">
        <a:solidFill>
          <a:srgbClr val="D9D9D9">
            <a:lumMod val="15000"/>
            <a:lumOff val="85000"/>
          </a:srgbClr>
        </a:solidFill>
        <a:round/>
      </a:ln>
    </cs:spPr>
    <cs:defRPr sz="900" kern="1200"/>
  </cs:chartArea>
  <cs:dataLabel>
    <cs:lnRef idx="0"/>
    <cs:fillRef idx="0"/>
    <cs:effectRef idx="0"/>
    <cs:fontRef idx="minor">
      <a:srgbClr val="404040">
        <a:lumMod val="75000"/>
        <a:lumOff val="25000"/>
      </a:srgbClr>
    </cs:fontRef>
    <cs:defRPr sz="900" kern="1200"/>
  </cs:dataLabel>
  <cs:dataLabelCallout>
    <cs:lnRef idx="0"/>
    <cs:fillRef idx="0"/>
    <cs:effectRef idx="0"/>
    <cs:fontRef idx="minor">
      <a:srgbClr val="595959">
        <a:lumMod val="65000"/>
        <a:lumOff val="35000"/>
      </a:srgbClr>
    </cs:fontRef>
    <cs:spPr>
      <a:solidFill>
        <a:srgbClr val="FFFFFF"/>
      </a:solidFill>
      <a:ln>
        <a:solidFill>
          <a:srgbClr val="BFBFBF">
            <a:lumMod val="25000"/>
            <a:lumOff val="75000"/>
          </a:srgb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rgbClr val="000000"/>
    </cs:fontRef>
    <cs:spPr>
      <a:ln w="19050">
        <a:solidFill>
          <a:srgbClr val="FFFFFF"/>
        </a:solidFill>
      </a:ln>
    </cs:spPr>
  </cs:dataPoint>
  <cs:dataPoint3D>
    <cs:lnRef idx="0"/>
    <cs:fillRef idx="1">
      <cs:styleClr val="auto"/>
    </cs:fillRef>
    <cs:effectRef idx="0"/>
    <cs:fontRef idx="minor">
      <a:srgbClr val="000000"/>
    </cs:fontRef>
    <cs:spPr>
      <a:ln w="25400">
        <a:solidFill>
          <a:srgbClr val="FFFFFF"/>
        </a:solidFill>
      </a:ln>
    </cs:spPr>
  </cs:dataPoint3D>
  <cs:dataPointLine>
    <cs:lnRef idx="0">
      <cs:styleClr val="auto"/>
    </cs:lnRef>
    <cs:fillRef idx="0"/>
    <cs:effectRef idx="0"/>
    <cs:fontRef idx="minor">
      <a:srgbClr val="000000"/>
    </cs:fontRef>
    <cs:spPr>
      <a:ln w="28575" cap="rnd">
        <a:solidFill>
          <a:srgbClr val="FFFFFF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rgbClr val="000000"/>
    </cs:fontRef>
    <cs:spPr>
      <a:ln w="9525">
        <a:solidFill>
          <a:srgbClr val="FFFFFF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rgbClr val="000000"/>
    </cs:fontRef>
    <cs:spPr>
      <a:ln w="9525" cap="rnd">
        <a:solidFill>
          <a:srgbClr val="FFFFFF"/>
        </a:solidFill>
        <a:round/>
      </a:ln>
    </cs:spPr>
  </cs:dataPointWireframe>
  <cs:dataTable>
    <cs:lnRef idx="0"/>
    <cs:fillRef idx="0"/>
    <cs:effectRef idx="0"/>
    <cs:fontRef idx="minor">
      <a:srgbClr val="595959">
        <a:lumMod val="65000"/>
        <a:lumOff val="35000"/>
      </a:srgbClr>
    </cs:fontRef>
    <cs:spPr>
      <a:noFill/>
      <a:ln w="9525" cap="flat" cmpd="sng" algn="ctr">
        <a:solidFill>
          <a:srgbClr val="D9D9D9">
            <a:lumMod val="15000"/>
            <a:lumOff val="85000"/>
          </a:srgbClr>
        </a:solidFill>
        <a:round/>
      </a:ln>
    </cs:spPr>
    <cs:defRPr sz="900" kern="1200"/>
  </cs:dataTable>
  <cs:downBar>
    <cs:lnRef idx="0"/>
    <cs:fillRef idx="0"/>
    <cs:effectRef idx="0"/>
    <cs:fontRef idx="minor">
      <a:srgbClr val="000000"/>
    </cs:fontRef>
    <cs:spPr>
      <a:solidFill>
        <a:srgbClr val="404040">
          <a:lumMod val="75000"/>
          <a:lumOff val="25000"/>
        </a:srgbClr>
      </a:solidFill>
      <a:ln w="9525" cap="flat" cmpd="sng" algn="ctr">
        <a:solidFill>
          <a:srgbClr val="595959">
            <a:lumMod val="65000"/>
            <a:lumOff val="35000"/>
          </a:srgbClr>
        </a:solidFill>
        <a:round/>
      </a:ln>
    </cs:spPr>
  </cs:downBar>
  <cs:dropLine>
    <cs:lnRef idx="0"/>
    <cs:fillRef idx="0"/>
    <cs:effectRef idx="0"/>
    <cs:fontRef idx="minor">
      <a:srgbClr val="000000"/>
    </cs:fontRef>
    <cs:spPr>
      <a:ln w="9525" cap="flat" cmpd="sng" algn="ctr">
        <a:solidFill>
          <a:srgbClr val="A6A6A6">
            <a:lumMod val="35000"/>
            <a:lumOff val="65000"/>
          </a:srgbClr>
        </a:solidFill>
        <a:round/>
      </a:ln>
    </cs:spPr>
  </cs:dropLine>
  <cs:errorBar>
    <cs:lnRef idx="0"/>
    <cs:fillRef idx="0"/>
    <cs:effectRef idx="0"/>
    <cs:fontRef idx="minor">
      <a:srgbClr val="000000"/>
    </cs:fontRef>
    <cs:spPr>
      <a:ln w="9525" cap="flat" cmpd="sng" algn="ctr">
        <a:solidFill>
          <a:srgbClr val="595959">
            <a:lumMod val="65000"/>
            <a:lumOff val="35000"/>
          </a:srgbClr>
        </a:solidFill>
        <a:round/>
      </a:ln>
    </cs:spPr>
  </cs:errorBar>
  <cs:floor>
    <cs:lnRef idx="0"/>
    <cs:fillRef idx="0"/>
    <cs:effectRef idx="0"/>
    <cs:fontRef idx="minor">
      <a:srgbClr val="000000"/>
    </cs:fontRef>
    <cs:spPr>
      <a:noFill/>
      <a:ln>
        <a:noFill/>
      </a:ln>
    </cs:spPr>
  </cs:floor>
  <cs:gridlineMajor>
    <cs:lnRef idx="0"/>
    <cs:fillRef idx="0"/>
    <cs:effectRef idx="0"/>
    <cs:fontRef idx="minor">
      <a:srgbClr val="000000"/>
    </cs:fontRef>
    <cs:spPr>
      <a:ln w="9525" cap="flat" cmpd="sng" algn="ctr">
        <a:solidFill>
          <a:srgbClr val="D9D9D9">
            <a:lumMod val="15000"/>
            <a:lumOff val="85000"/>
          </a:srgbClr>
        </a:solidFill>
        <a:round/>
      </a:ln>
    </cs:spPr>
  </cs:gridlineMajor>
  <cs:gridlineMinor>
    <cs:lnRef idx="0"/>
    <cs:fillRef idx="0"/>
    <cs:effectRef idx="0"/>
    <cs:fontRef idx="minor">
      <a:srgbClr val="000000"/>
    </cs:fontRef>
    <cs:spPr>
      <a:ln w="9525" cap="flat" cmpd="sng" algn="ctr">
        <a:solidFill>
          <a:srgbClr val="F2F2F2">
            <a:lumMod val="5000"/>
            <a:lumOff val="95000"/>
          </a:srgbClr>
        </a:solidFill>
        <a:round/>
      </a:ln>
    </cs:spPr>
  </cs:gridlineMinor>
  <cs:hiLoLine>
    <cs:lnRef idx="0"/>
    <cs:fillRef idx="0"/>
    <cs:effectRef idx="0"/>
    <cs:fontRef idx="minor">
      <a:srgbClr val="000000"/>
    </cs:fontRef>
    <cs:spPr>
      <a:ln w="9525" cap="flat" cmpd="sng" algn="ctr">
        <a:solidFill>
          <a:srgbClr val="808080">
            <a:lumMod val="50000"/>
            <a:lumOff val="50000"/>
          </a:srgbClr>
        </a:solidFill>
        <a:round/>
      </a:ln>
    </cs:spPr>
  </cs:hiLoLine>
  <cs:leaderLine>
    <cs:lnRef idx="0"/>
    <cs:fillRef idx="0"/>
    <cs:effectRef idx="0"/>
    <cs:fontRef idx="minor">
      <a:srgbClr val="000000"/>
    </cs:fontRef>
    <cs:spPr>
      <a:ln w="9525" cap="flat" cmpd="sng" algn="ctr">
        <a:solidFill>
          <a:srgbClr val="A6A6A6">
            <a:lumMod val="35000"/>
            <a:lumOff val="65000"/>
          </a:srgbClr>
        </a:solidFill>
        <a:round/>
      </a:ln>
    </cs:spPr>
  </cs:leaderLine>
  <cs:legend>
    <cs:lnRef idx="0"/>
    <cs:fillRef idx="0"/>
    <cs:effectRef idx="0"/>
    <cs:fontRef idx="minor">
      <a:srgbClr val="595959">
        <a:lumMod val="65000"/>
        <a:lumOff val="35000"/>
      </a:srgbClr>
    </cs:fontRef>
    <cs:defRPr sz="900" kern="1200"/>
  </cs:legend>
  <cs:plotArea mods="allowNoFillOverride allowNoLineOverride">
    <cs:lnRef idx="0"/>
    <cs:fillRef idx="0"/>
    <cs:effectRef idx="0"/>
    <cs:fontRef idx="minor">
      <a:srgbClr val="000000"/>
    </cs:fontRef>
  </cs:plotArea>
  <cs:plotArea3D mods="allowNoFillOverride allowNoLineOverride">
    <cs:lnRef idx="0"/>
    <cs:fillRef idx="0"/>
    <cs:effectRef idx="0"/>
    <cs:fontRef idx="minor">
      <a:srgbClr val="000000"/>
    </cs:fontRef>
  </cs:plotArea3D>
  <cs:seriesAxis>
    <cs:lnRef idx="0"/>
    <cs:fillRef idx="0"/>
    <cs:effectRef idx="0"/>
    <cs:fontRef idx="minor">
      <a:srgbClr val="595959">
        <a:lumMod val="65000"/>
        <a:lumOff val="35000"/>
      </a:srgbClr>
    </cs:fontRef>
    <cs:defRPr sz="900" kern="1200"/>
  </cs:seriesAxis>
  <cs:seriesLine>
    <cs:lnRef idx="0"/>
    <cs:fillRef idx="0"/>
    <cs:effectRef idx="0"/>
    <cs:fontRef idx="minor">
      <a:srgbClr val="000000"/>
    </cs:fontRef>
    <cs:spPr>
      <a:ln w="9525" cap="flat" cmpd="sng" algn="ctr">
        <a:solidFill>
          <a:srgbClr val="A6A6A6">
            <a:lumMod val="35000"/>
            <a:lumOff val="65000"/>
          </a:srgbClr>
        </a:solidFill>
        <a:round/>
      </a:ln>
    </cs:spPr>
  </cs:seriesLine>
  <cs:title>
    <cs:lnRef idx="0"/>
    <cs:fillRef idx="0"/>
    <cs:effectRef idx="0"/>
    <cs:fontRef idx="minor">
      <a:srgbClr val="595959">
        <a:lumMod val="65000"/>
        <a:lumOff val="35000"/>
      </a:srgb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rgbClr val="000000"/>
    </cs:fontRef>
    <cs:spPr>
      <a:ln w="19050" cap="rnd">
        <a:solidFill>
          <a:srgbClr val="FFFFFF"/>
        </a:solidFill>
        <a:prstDash val="sysDot"/>
      </a:ln>
    </cs:spPr>
  </cs:trendline>
  <cs:trendlineLabel>
    <cs:lnRef idx="0"/>
    <cs:fillRef idx="0"/>
    <cs:effectRef idx="0"/>
    <cs:fontRef idx="minor">
      <a:srgbClr val="595959">
        <a:lumMod val="65000"/>
        <a:lumOff val="35000"/>
      </a:srgbClr>
    </cs:fontRef>
    <cs:defRPr sz="900" kern="1200"/>
  </cs:trendlineLabel>
  <cs:upBar>
    <cs:lnRef idx="0"/>
    <cs:fillRef idx="0"/>
    <cs:effectRef idx="0"/>
    <cs:fontRef idx="minor">
      <a:srgbClr val="000000"/>
    </cs:fontRef>
    <cs:spPr>
      <a:solidFill>
        <a:srgbClr val="FFFFFF"/>
      </a:solidFill>
      <a:ln w="9525" cap="flat" cmpd="sng" algn="ctr">
        <a:solidFill>
          <a:srgbClr val="595959">
            <a:lumMod val="65000"/>
            <a:lumOff val="35000"/>
          </a:srgbClr>
        </a:solidFill>
        <a:round/>
      </a:ln>
    </cs:spPr>
  </cs:upBar>
  <cs:valueAxis>
    <cs:lnRef idx="0"/>
    <cs:fillRef idx="0"/>
    <cs:effectRef idx="0"/>
    <cs:fontRef idx="minor">
      <a:srgbClr val="595959">
        <a:lumMod val="65000"/>
        <a:lumOff val="35000"/>
      </a:srgbClr>
    </cs:fontRef>
    <cs:defRPr sz="900" kern="1200"/>
  </cs:valueAxis>
  <cs:wall>
    <cs:lnRef idx="0"/>
    <cs:fillRef idx="0"/>
    <cs:effectRef idx="0"/>
    <cs:fontRef idx="minor">
      <a:srgbClr val="000000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7357</Words>
  <Characters>9907</Characters>
  <Lines>0</Lines>
  <Paragraphs>0</Paragraphs>
  <TotalTime>3</TotalTime>
  <ScaleCrop>false</ScaleCrop>
  <LinksUpToDate>false</LinksUpToDate>
  <CharactersWithSpaces>10096</CharactersWithSpaces>
  <Application>WPS Office_11.1.0.14305_F1E327BC-269C-435d-A152-05C5408002CA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2023-04-24T03:01:00Z</dcterms:created>
  <dc:creator>小雨</dc:creator>
  <cp:lastModifiedBy>小雨</cp:lastModifiedBy>
  <dcterms:modified xsi:type="dcterms:W3CDTF">2023-04-26T09:53:54Z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2052-11.1.0.14305</vt:lpwstr>
  </property>
  <property fmtid="{D5CDD505-2E9C-101B-9397-08002B2CF9AE}" pid="3" name="ICV">
    <vt:lpwstr>7BFDD017C4F54AB7BBE225BD3BE6FEC4_11</vt:lpwstr>
  </property>
</Properties>
</file>