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0" w:lineRule="exact"/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湛江经济技术开发区农村集中供水项目</w:t>
      </w:r>
    </w:p>
    <w:p>
      <w:pPr>
        <w:spacing w:line="59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44"/>
          <w:szCs w:val="44"/>
        </w:rPr>
        <w:t>绩效评价报告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为考核湛江经济技术开发区农村集中供水项目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资金的使用效益，</w:t>
      </w:r>
      <w:r>
        <w:rPr>
          <w:rFonts w:hint="eastAsia" w:ascii="仿宋" w:hAnsi="仿宋" w:eastAsia="仿宋" w:cs="仿宋"/>
          <w:sz w:val="28"/>
          <w:szCs w:val="28"/>
        </w:rPr>
        <w:t>根据《湛江经济技术开发区财政局关于做好2023年年度财政重点绩效评价的通知》（湛开财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〔</w:t>
      </w:r>
      <w:r>
        <w:rPr>
          <w:rFonts w:hint="eastAsia" w:ascii="仿宋" w:hAnsi="仿宋" w:eastAsia="仿宋" w:cs="仿宋"/>
          <w:sz w:val="28"/>
          <w:szCs w:val="28"/>
        </w:rPr>
        <w:t>2023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〕</w:t>
      </w:r>
      <w:r>
        <w:rPr>
          <w:rFonts w:hint="eastAsia" w:ascii="仿宋" w:hAnsi="仿宋" w:eastAsia="仿宋" w:cs="仿宋"/>
          <w:sz w:val="28"/>
          <w:szCs w:val="28"/>
        </w:rPr>
        <w:t>448号）和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《关于印发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湛江经济技术开发区推进全面实施预算绩效管理方案的通知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湛开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财〔202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号）要求，湛江经济技术开发区财政局于2023年7月，对湛江经济技术开发区农业事务管理局2022年湛江经济技术开发区农村集中供水项目资金629.27万元进行重点绩效评价，形成绩效评价报告。</w:t>
      </w:r>
    </w:p>
    <w:p>
      <w:pPr>
        <w:widowControl/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（一）项目概况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1.项目名称：湛江经济技术开发区农村集中供水项目。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2.项目目的：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确保到2021年底，完成新增保障3.64万农村人口集中供水，涉及3街道个63条自然村，全区基本实现全域自然村集中供水全覆盖。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3.项目主管部门：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湛江经济技术开发区农业事务管理局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项目背景：农村集中供水主要是为了全面推进乡村振兴战略，办好民生实施的总体部署，让广大群众喝上“放心水”。根据省政府、市政府以及区农村集中供水工作会议部署要求，截至2020年底，经开区未集中供水覆盖的人口3.64万人。按照2021年12月底前，基本实现全域自然村集中供水全覆盖的工作目标，加快推进全区农村集中供水工作，确保2021年底前完成新增保障3.64万农村人口集中供水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项目依据：《湛江经开区村村通自来水工程建设实施方案》（湛开办﹝2019﹞108号）、《广东省水利厅落实2021年省民生实事推进农村集中供水工作方案》（粤水农水农电函﹝2021﹞256号）、《湛江经开区推进农村集中供水全覆盖工作方案》（湛开办函﹝2021﹞4号）、《湛江经开区农村集中供水全覆盖攻坚行动奖励方案》（湛开农〔2021〕198号）等。</w:t>
      </w:r>
    </w:p>
    <w:p>
      <w:pPr>
        <w:widowControl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（二）项目绩效目标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农村集中供水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绩效目标是根据相关工作会议部署及工作方案的要求，完成全区63条自然村基本实现全域自然村集中供水全覆盖，保障3.64万农村群众喝上“放心水”。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（三）绩效目标整体执行情况及效果性评价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该项目2022年实际总支出金额629.27万元，资金支付率100%，主要用于集中供水工程工程款结算和奖补。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通过实施集中供水，农村自来水覆盖率、农村自来水普及率、农村生活饮用水水质合格率均≥90%，实际完成覆盖服务人口3.64万人，项目的实施效益较好。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二、绩效评价指标分析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（一）决策指标总分18分，共设置3个二级指标，分别为项目立项、目标设置、资金投入。项目得分和绩效分析如下（详见附表）：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1.论证决策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该项目符合法律法规、相关政策、发展规划以及部门职责，属于公共财政支持范围，按规定程序申请设立项目。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未见前期可行性研究报告或摸底调查工作总结等材料，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扣1分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该指标分值4分，得3分。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2.目标完整性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该项目设定了其他工作任务目标，提供的相关资料判断绩效目标设置的完整性不够，酌情扣0.2分。该指标分值4分，得3.8分。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3.目标科学性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该项目绩效目标设置与项目实施相关合理，提供的相关资料判断绩效指标设置不够细化、量化，酌情扣0.2分。该指标分值4分，得3.8分。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4.预算编制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该项目</w:t>
      </w:r>
      <w:r>
        <w:rPr>
          <w:rFonts w:hint="eastAsia" w:ascii="仿宋" w:hAnsi="仿宋" w:eastAsia="仿宋" w:cs="仿宋"/>
          <w:sz w:val="28"/>
          <w:szCs w:val="28"/>
        </w:rPr>
        <w:t>期初预算资金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 w:cs="仿宋"/>
          <w:sz w:val="28"/>
          <w:szCs w:val="28"/>
        </w:rPr>
        <w:t>万元，预算调整后金额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预算编制合理，预算调整比例为25%，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扣2分。且该项目是否按要求做实做细项目库无法判断，扣1分。该项指标分值4分，得分1分。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5.资金分配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</w:rPr>
        <w:t>项目使用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政府性基金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预算</w:t>
      </w:r>
      <w:r>
        <w:rPr>
          <w:rFonts w:hint="eastAsia" w:ascii="仿宋" w:hAnsi="仿宋" w:eastAsia="仿宋" w:cs="仿宋"/>
          <w:sz w:val="28"/>
          <w:szCs w:val="28"/>
        </w:rPr>
        <w:t>资金，资金使用按规定履行报批手续，符合相关管理办法；资金分配额度按照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该项目</w:t>
      </w:r>
      <w:r>
        <w:rPr>
          <w:rFonts w:hint="eastAsia" w:ascii="仿宋" w:hAnsi="仿宋" w:eastAsia="仿宋" w:cs="仿宋"/>
          <w:sz w:val="28"/>
          <w:szCs w:val="28"/>
        </w:rPr>
        <w:t>实际需要使用金额进行请款使用。该项指标分值2分，得分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过程指标总分22分，共设置2个二级指标，分别为资金管理、组织实施。项目得分和绩效分析如下：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1.资金到位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</w:rPr>
        <w:t>项目预算调整后金额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750</w:t>
      </w:r>
      <w:r>
        <w:rPr>
          <w:rFonts w:hint="eastAsia" w:ascii="仿宋" w:hAnsi="仿宋" w:eastAsia="仿宋" w:cs="仿宋"/>
          <w:sz w:val="28"/>
          <w:szCs w:val="28"/>
        </w:rPr>
        <w:t>万元，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财政资金到位金额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629</w:t>
      </w:r>
      <w:r>
        <w:rPr>
          <w:rFonts w:hint="eastAsia" w:ascii="仿宋" w:hAnsi="仿宋" w:eastAsia="仿宋" w:cs="仿宋"/>
          <w:sz w:val="28"/>
          <w:szCs w:val="28"/>
        </w:rPr>
        <w:t>万元，资金到位率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83.87</w:t>
      </w:r>
      <w:r>
        <w:rPr>
          <w:rFonts w:hint="eastAsia"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，资金到位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较为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综上所述，资金到位分资金到位率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资金到位及时性进行评分，共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</w:t>
      </w:r>
      <w:r>
        <w:rPr>
          <w:rFonts w:hint="eastAsia" w:ascii="仿宋" w:hAnsi="仿宋" w:eastAsia="仿宋" w:cs="仿宋"/>
          <w:sz w:val="28"/>
          <w:szCs w:val="28"/>
        </w:rPr>
        <w:t>分，其中资金到位率占3分，得分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分，资金到位及时性占2分，得分2分。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2.资金支付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2022年实际使用金额629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7万元，2022年实际到位金额629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仿宋"/>
          <w:sz w:val="28"/>
          <w:szCs w:val="28"/>
        </w:rPr>
        <w:t>7万元，执行率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sz w:val="28"/>
          <w:szCs w:val="28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综上所述，该项指标分值5分，得分5分。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3.资金使用规范性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该项目资金支出暂未发现违规支出，会计核算符合规范。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综上所述，该项指标分值4分，得分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4.实施程序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该项目实施过程基本规范、符合相关管理规定。但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没按方案要求签订任务包干责任书，酌情扣1分。</w:t>
      </w:r>
      <w:r>
        <w:rPr>
          <w:rFonts w:hint="eastAsia" w:ascii="仿宋" w:hAnsi="仿宋" w:eastAsia="仿宋" w:cs="仿宋"/>
          <w:sz w:val="28"/>
          <w:szCs w:val="28"/>
        </w:rPr>
        <w:t>该项指标分值4分，得分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5.管理情况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资金的申请、使用情况合法合规，资金支付手续齐全，能够按照制度办理结算和会计核算。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但没有提供主管部门对资金的使用管理情况相关的资料，扣0.5分。</w:t>
      </w:r>
      <w:r>
        <w:rPr>
          <w:rFonts w:hint="eastAsia" w:ascii="仿宋" w:hAnsi="仿宋" w:eastAsia="仿宋" w:cs="仿宋"/>
          <w:sz w:val="28"/>
          <w:szCs w:val="28"/>
        </w:rPr>
        <w:t>该项指标分值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6.绩效管理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该项目</w:t>
      </w:r>
      <w:r>
        <w:rPr>
          <w:rFonts w:hint="eastAsia" w:ascii="仿宋" w:hAnsi="仿宋" w:eastAsia="仿宋" w:cs="仿宋"/>
          <w:sz w:val="28"/>
          <w:szCs w:val="28"/>
        </w:rPr>
        <w:t>自评材料报送及时，绩效自评材料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公开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该项指标分值2分，得分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产出指标总分30分，共设置2个二级指标，分别为经济性、效率性。项目得分和绩效分析如下：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1.经济性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项目建设过程按预算实施，要求设计单位按现场实际情况设计最优方案，因地制宜，降低成本；施工单位严格按设计图纸施工，控制质量，保质保量完成建设。目前项目已全部完工，成本控制在预算范围内，没有出现超预算情况。</w:t>
      </w:r>
      <w:r>
        <w:rPr>
          <w:rFonts w:hint="eastAsia" w:ascii="仿宋" w:hAnsi="仿宋" w:eastAsia="仿宋" w:cs="仿宋"/>
          <w:sz w:val="28"/>
          <w:szCs w:val="28"/>
        </w:rPr>
        <w:t>该项指标分值8分，得分8分。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2.效率性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项目实施过程能够按照计划进行，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2021年底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3个街道63条自然村农村集中供水工程项目完成率100.00%，项目验收合格率达到100.00%，达到预算目标。但没有提供相关统计资料列示整体完成的进度和质量情况，扣3分。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该</w:t>
      </w:r>
      <w:r>
        <w:rPr>
          <w:rFonts w:hint="eastAsia" w:ascii="仿宋" w:hAnsi="仿宋" w:eastAsia="仿宋" w:cs="仿宋"/>
          <w:sz w:val="28"/>
          <w:szCs w:val="28"/>
        </w:rPr>
        <w:t>项指标分值22分，得分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 w:cs="仿宋"/>
          <w:sz w:val="28"/>
          <w:szCs w:val="28"/>
        </w:rPr>
        <w:t>效益指标总分30分，共设置2个二级指标，分别为效果性、公平性。项目得分和绩效分析如下：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1.效果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性。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农村集中供水项目的开展改善了农村饮用水安全问题，提供清洁的生活用水，保障居民健康，提高了农村人居生活环境卫生状况。通过实施集中供水，农村自来水覆盖率、农村自来水普及率、农村生活饮用水水质合格率均≥90%，实际完成覆盖服务人口3.64万人，项目的实施效益较好。供水硬件设施管理维护有待完善，项目整体效益及可持续能力扣3分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该项指标分值25分，得分22分。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2.公平性。本项目实施利民益民，但未提供相关调查报告等资料，满意度酌情扣0.5分。该项指标分值5分，得4.5分。  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三、存在问题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1、区管委会没有与各责任街道签订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任务包干责任书。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根据《湛江经开区村村通自来水工程建设实施方案》三、工程建设模式：“采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取区管委会与各责任街道签订任务包干责任书的形式实施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2、前期工作的制度措施方面存在问题。如：没有制定专项资金管理制度，没有编制完整详细的项目资金使用计划。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281" w:firstLineChars="1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解决措施及相关建议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1、提高对责任书的认识和重要性的理解。为了提高工作的规范性和效率，确保工作顺利进行，对要求签订责任书的项目，要严格按照规定，签订责任书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2、规范管理，编制项目资金使用计划，建立资金台账进行有效监管，严格按照财政部有关规定，实行专项管理、专账核算、专款专用，提高资金使用效益。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leftChars="0" w:right="0" w:rightChars="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五、综合评价情况及评价结论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根据绩效评价方法，遵循“客观、公证、科学、规范”的原则，采用目标预定与实施效果相比较的评价方法，通过电话沟通、核实相关资料等环节，结合现场评价情况，得出绩效评价结果，2022年经开区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农村集中供水项目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评价结果为86.9分，项目整体实施情况良好（详见附表）。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0"/>
          <w:szCs w:val="30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040" w:firstLineChars="18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广东中安信会计师事务所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20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2023年11月27日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67DAC"/>
    <w:multiLevelType w:val="singleLevel"/>
    <w:tmpl w:val="ABB67D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DdlMzcyYzc3YzlhYzEyYmQxYjc4YmZkZDMzZjYifQ=="/>
  </w:docVars>
  <w:rsids>
    <w:rsidRoot w:val="797C1F70"/>
    <w:rsid w:val="0497740F"/>
    <w:rsid w:val="096E162E"/>
    <w:rsid w:val="0CFB61AE"/>
    <w:rsid w:val="0E7712C4"/>
    <w:rsid w:val="1072469B"/>
    <w:rsid w:val="10A37F8C"/>
    <w:rsid w:val="10EA41B2"/>
    <w:rsid w:val="117C762B"/>
    <w:rsid w:val="11C95381"/>
    <w:rsid w:val="133C7F00"/>
    <w:rsid w:val="1A903DE6"/>
    <w:rsid w:val="1B0C4A1D"/>
    <w:rsid w:val="1BE000A1"/>
    <w:rsid w:val="1CF17A5E"/>
    <w:rsid w:val="224624D1"/>
    <w:rsid w:val="226A2AB9"/>
    <w:rsid w:val="232D1A99"/>
    <w:rsid w:val="247054C4"/>
    <w:rsid w:val="25554D7E"/>
    <w:rsid w:val="26D43902"/>
    <w:rsid w:val="29364AA5"/>
    <w:rsid w:val="2B994221"/>
    <w:rsid w:val="306A3706"/>
    <w:rsid w:val="31636313"/>
    <w:rsid w:val="329A5453"/>
    <w:rsid w:val="33862977"/>
    <w:rsid w:val="34625779"/>
    <w:rsid w:val="34AC52EB"/>
    <w:rsid w:val="382F5CBE"/>
    <w:rsid w:val="396A74D3"/>
    <w:rsid w:val="3A4F2F2E"/>
    <w:rsid w:val="3AA31A98"/>
    <w:rsid w:val="3E8729B2"/>
    <w:rsid w:val="43DB37C3"/>
    <w:rsid w:val="442353E4"/>
    <w:rsid w:val="47223748"/>
    <w:rsid w:val="477536A2"/>
    <w:rsid w:val="4B7A6470"/>
    <w:rsid w:val="4D4E44D3"/>
    <w:rsid w:val="4EB367EF"/>
    <w:rsid w:val="501C767F"/>
    <w:rsid w:val="50D65FF3"/>
    <w:rsid w:val="50E8551B"/>
    <w:rsid w:val="510B372B"/>
    <w:rsid w:val="53F63612"/>
    <w:rsid w:val="548A3B5F"/>
    <w:rsid w:val="56D85603"/>
    <w:rsid w:val="5A4A13D2"/>
    <w:rsid w:val="5B7326E1"/>
    <w:rsid w:val="5C4F1EC6"/>
    <w:rsid w:val="5EB822E6"/>
    <w:rsid w:val="626C14AC"/>
    <w:rsid w:val="63F805D2"/>
    <w:rsid w:val="65AC3EED"/>
    <w:rsid w:val="67C67A82"/>
    <w:rsid w:val="69164B73"/>
    <w:rsid w:val="693B6D72"/>
    <w:rsid w:val="694C6813"/>
    <w:rsid w:val="6BE546CD"/>
    <w:rsid w:val="6D4A3314"/>
    <w:rsid w:val="6DF371E9"/>
    <w:rsid w:val="6E8B5C27"/>
    <w:rsid w:val="700510C2"/>
    <w:rsid w:val="716C3AA9"/>
    <w:rsid w:val="72731555"/>
    <w:rsid w:val="73880040"/>
    <w:rsid w:val="74407D68"/>
    <w:rsid w:val="756D7F46"/>
    <w:rsid w:val="768663D7"/>
    <w:rsid w:val="78DE61EB"/>
    <w:rsid w:val="797C1F70"/>
    <w:rsid w:val="7E950A27"/>
    <w:rsid w:val="7EC9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0" w:lineRule="atLeas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1976</Words>
  <Characters>2072</Characters>
  <Lines>0</Lines>
  <Paragraphs>0</Paragraphs>
  <TotalTime>9</TotalTime>
  <ScaleCrop>false</ScaleCrop>
  <LinksUpToDate>false</LinksUpToDate>
  <CharactersWithSpaces>2138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2020-09-24T01:24:00Z</dcterms:created>
  <dc:creator>Administrator</dc:creator>
  <cp:lastModifiedBy>Administrator</cp:lastModifiedBy>
  <dcterms:modified xsi:type="dcterms:W3CDTF">2023-12-13T08:00:54Z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3D94C262AF7541CCBBDAC03EE8F61C04</vt:lpwstr>
  </property>
</Properties>
</file>