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  <w:lang w:eastAsia="zh-CN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湛江经济技术开发区东山街道办事处2021年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  <w:lang w:eastAsia="zh-CN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创建全国文明城市迎国检工作经费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绩效评价报告</w:t>
      </w:r>
    </w:p>
    <w:p/>
    <w:p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为加强</w:t>
      </w:r>
      <w:r>
        <w:rPr>
          <w:rFonts w:hint="eastAsia" w:ascii="仿宋_GB2312" w:eastAsia="仿宋_GB2312"/>
          <w:sz w:val="30"/>
          <w:szCs w:val="30"/>
          <w:lang w:eastAsia="zh-CN"/>
        </w:rPr>
        <w:t>对创建全国文明城市迎国检工作经费的使用管理</w:t>
      </w:r>
      <w:r>
        <w:rPr>
          <w:rFonts w:hint="eastAsia" w:ascii="仿宋_GB2312" w:eastAsia="仿宋_GB2312"/>
          <w:sz w:val="30"/>
          <w:szCs w:val="30"/>
        </w:rPr>
        <w:t>，提高财政资金使用效益，根据《关于印发项目支出绩效评价管理办法的通知》（财预〔2020〕10 号）和《广东省财政厅关于印发广东省省级财政绩效评估指南的通知》（粤财绩〔2020〕3 号）要求，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湛江经济技术开发区财政局于2022年01月，</w:t>
      </w:r>
      <w:r>
        <w:rPr>
          <w:rFonts w:hint="eastAsia" w:ascii="仿宋_GB2312" w:eastAsia="仿宋_GB2312"/>
          <w:sz w:val="30"/>
          <w:szCs w:val="30"/>
        </w:rPr>
        <w:t>对湛江经济技术开发区</w:t>
      </w:r>
      <w:r>
        <w:rPr>
          <w:rFonts w:hint="eastAsia" w:ascii="仿宋_GB2312" w:eastAsia="仿宋_GB2312"/>
          <w:sz w:val="30"/>
          <w:szCs w:val="30"/>
          <w:lang w:eastAsia="zh-CN"/>
        </w:rPr>
        <w:t>东山</w:t>
      </w:r>
      <w:r>
        <w:rPr>
          <w:rFonts w:hint="eastAsia" w:ascii="仿宋_GB2312" w:eastAsia="仿宋_GB2312"/>
          <w:sz w:val="30"/>
          <w:szCs w:val="30"/>
        </w:rPr>
        <w:t>街道办事处创建全国文明城市迎国检工作经费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5万元进行</w:t>
      </w:r>
      <w:r>
        <w:rPr>
          <w:rFonts w:hint="eastAsia" w:ascii="仿宋_GB2312" w:eastAsia="仿宋_GB2312"/>
          <w:sz w:val="30"/>
          <w:szCs w:val="30"/>
        </w:rPr>
        <w:t>重点绩效评价，形成绩效评价报告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一、项目概况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东山</w:t>
      </w:r>
      <w:r>
        <w:rPr>
          <w:rFonts w:hint="eastAsia" w:ascii="仿宋_GB2312" w:eastAsia="仿宋_GB2312"/>
          <w:sz w:val="30"/>
          <w:szCs w:val="30"/>
        </w:rPr>
        <w:t>街道办事处创建全国文明城市迎国检工作经费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2021年度资金共计5万元，项目单位为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东山街道办事处。项目资金全部用于环境整治等相关费用。项目内容包括区域内死角位置的垃圾清理，垃圾运输、卫生整治等。该项目为进一步创建文明城市，改善人民群众生活质量以及生活环境，促进城市科学和谐发展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绩效目标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全力做好迎检阶段的整治提升、宣传教育和常态管理工作，为顺利通过“全国文明城市”测评做出积极贡献</w:t>
      </w:r>
      <w:bookmarkStart w:id="0" w:name="_GoBack"/>
      <w:bookmarkEnd w:id="0"/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。推动辖区环境卫生水平再提升，积极宣传，动员人民群众养成健康文明的生活方式和生活习惯，构建社会主义和谐社会。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项目资金使用及管理情况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创建全国文明城市迎国检工作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预算为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5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万元，财政资金到位金额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5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万元，财政资金到位率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100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%，项目支出金额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5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已全部投入</w:t>
      </w:r>
      <w:r>
        <w:rPr>
          <w:rFonts w:hint="eastAsia" w:ascii="仿宋_GB2312" w:eastAsia="仿宋_GB2312"/>
          <w:sz w:val="30"/>
          <w:szCs w:val="30"/>
        </w:rPr>
        <w:t>创建全国文明城市迎国检工作</w:t>
      </w:r>
      <w:r>
        <w:rPr>
          <w:rFonts w:hint="eastAsia" w:ascii="仿宋_GB2312" w:eastAsia="仿宋_GB2312"/>
          <w:sz w:val="30"/>
          <w:szCs w:val="30"/>
          <w:lang w:eastAsia="zh-CN"/>
        </w:rPr>
        <w:t>当中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财政资金支出率为100%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。从核查情况看，</w:t>
      </w:r>
      <w:r>
        <w:rPr>
          <w:rFonts w:hint="eastAsia" w:ascii="仿宋_GB2312" w:eastAsia="仿宋_GB2312"/>
          <w:sz w:val="30"/>
          <w:szCs w:val="30"/>
          <w:lang w:eastAsia="zh-CN"/>
        </w:rPr>
        <w:t>东山</w:t>
      </w:r>
      <w:r>
        <w:rPr>
          <w:rFonts w:hint="eastAsia" w:ascii="仿宋_GB2312" w:eastAsia="仿宋_GB2312"/>
          <w:sz w:val="30"/>
          <w:szCs w:val="30"/>
        </w:rPr>
        <w:t>街道办事处创建全国文明城市迎国检工作经费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的管理及使用情况基本合法合规，未发现存在挤占、截留或挪用专项资金情况，资金支付手续齐全，也没有发现超范围和超标准使用资金。财务制度较为规范，能够按照制度办理结算和会计核算。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四、项目组织管理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东山街道办事处负责制定项目实施方案，做好项目资金的落实，以及进展工作进度、工作质量、资金安排等方面的管理，根据街道实际情况，通过街道党工委会议部署工作安排以及项目费用支出的确认，根据全国文明城市创建迎检工作的时间节点，对各村创建工作开展情况开展定期和不定期的检查督查，并进一步建立和完善创建工作的通报制度，切实保障创建工作落实到位，责任落实到人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从而确保了项目的顺利组织、实施与完成。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五、项目绩效情况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该项目建设实现预期目标。项目立项切合实际、申报基本合规，资金使用合规。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（一）项目的经济性分析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yellow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创建全国文明城市迎国检工作经费，该项目改善各大街小巷的环境，给居民创造了舒适、干净的居住环境。根据专项资金管理制度，该项目预算控制非常好，资金使用率为100.00%，资金支出效果率达到了100.00%，采用成本控制的措施，并取得较好的经济效益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（二）项目的效率性分析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1、项目的实施进度。项目已完工，能够按照计划进行，阶段性目标清晰。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2、项目完成质量。紧跟工作进度，确保工作质量，均达到预期的效果。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（三）项目的效益性分析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项目完成后，改善人民群众生活质量以及生活环境，为居民创造了舒适、干净的居住环境，全面提升环境卫生服务质量，促进城市科学和谐发展。全力做好迎检阶段的整治提升、宣传教育和常态管理工作，为顺利通过“全国文明城市”测评做出积极贡献。推动辖区环境卫生水平再提升，积极宣传，动员人民群众养成健康文明的生活方式和生活习惯，构建社会主义和谐社会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存在问题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项目实施过程，临时性会造成当地道路交通拥堵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，会产生一定的噪音。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人民群众创建文明环境的意识仍需提升。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相关建议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1、采取各种有效措施，降低施工过程中产生的噪音；对施工区域、危险区域设立醒目的警示标志，并采取保护措施。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2、提前准备，聚焦细节、找准短板、狠抓长效，以更高的标准、更大的力度推进文明城市创建，做好文明城创建复查迎检工作提前准备。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3、精心组织，在项目实施过程中抓好项目组织，实行项目负责制，责任到人，做到分部工程督促监督到位，保证项目如期如质的完成。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4、广泛宣传，各村召开动员会，做到创城家喻户晓，人人拥护，激发村民的责任感、使命感。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综合评价情况及评价结论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根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据绩效评价方法，遵循“客观、公证、科学、规范”的原则，采用目标预定与实施效果相比较的评价方法，听取资金使用单位意见的基础上，通过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电话沟通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、核实相关资料等环节，结合现场评价情况，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得出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绩效评价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结果，2021年创建全国文明城市迎国检工作经费的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评价结果为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90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分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。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（详见附表）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湛江中安信会计师事务所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    2022年1月20日</w:t>
      </w:r>
    </w:p>
    <w:sectPr>
      <w:footerReference r:id="rId5" w:type="default"/>
      <w:pgSz w:w="11906" w:h="16838"/>
      <w:pgMar w:top="1440" w:right="1587" w:bottom="1440" w:left="1588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5A76D5"/>
    <w:multiLevelType w:val="singleLevel"/>
    <w:tmpl w:val="B25A76D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509E7C6"/>
    <w:multiLevelType w:val="singleLevel"/>
    <w:tmpl w:val="D509E7C6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5C2FEC2"/>
    <w:multiLevelType w:val="singleLevel"/>
    <w:tmpl w:val="05C2FEC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C1F70"/>
    <w:rsid w:val="0497740F"/>
    <w:rsid w:val="05A0746B"/>
    <w:rsid w:val="06927CB4"/>
    <w:rsid w:val="0CC646B6"/>
    <w:rsid w:val="0CCB12D9"/>
    <w:rsid w:val="0DDC2F2B"/>
    <w:rsid w:val="103A6A1C"/>
    <w:rsid w:val="10B0117A"/>
    <w:rsid w:val="10EA41B2"/>
    <w:rsid w:val="1177316B"/>
    <w:rsid w:val="121C255C"/>
    <w:rsid w:val="12767790"/>
    <w:rsid w:val="16974733"/>
    <w:rsid w:val="16A070E1"/>
    <w:rsid w:val="184214E3"/>
    <w:rsid w:val="1A903DE6"/>
    <w:rsid w:val="1D8A3911"/>
    <w:rsid w:val="1DFC120D"/>
    <w:rsid w:val="1E97058F"/>
    <w:rsid w:val="22430C1B"/>
    <w:rsid w:val="226A2AB9"/>
    <w:rsid w:val="232D1A99"/>
    <w:rsid w:val="247054C4"/>
    <w:rsid w:val="29364AA5"/>
    <w:rsid w:val="294C20B9"/>
    <w:rsid w:val="2E536EC1"/>
    <w:rsid w:val="33A90E75"/>
    <w:rsid w:val="34747AE7"/>
    <w:rsid w:val="34AC52EB"/>
    <w:rsid w:val="350B7C9A"/>
    <w:rsid w:val="364A53FB"/>
    <w:rsid w:val="38C23E29"/>
    <w:rsid w:val="38ED48F0"/>
    <w:rsid w:val="3AA31A98"/>
    <w:rsid w:val="3F4D4508"/>
    <w:rsid w:val="44AA3A9F"/>
    <w:rsid w:val="464078D3"/>
    <w:rsid w:val="477536A2"/>
    <w:rsid w:val="48783232"/>
    <w:rsid w:val="4D4E44D3"/>
    <w:rsid w:val="4E7B7639"/>
    <w:rsid w:val="4F1450E6"/>
    <w:rsid w:val="4FA40ED3"/>
    <w:rsid w:val="50D65FF3"/>
    <w:rsid w:val="50E8551B"/>
    <w:rsid w:val="533B75B0"/>
    <w:rsid w:val="53B35BC4"/>
    <w:rsid w:val="566043AE"/>
    <w:rsid w:val="57CD1D44"/>
    <w:rsid w:val="58E171CA"/>
    <w:rsid w:val="5B3147B3"/>
    <w:rsid w:val="5B7326E1"/>
    <w:rsid w:val="60C132CC"/>
    <w:rsid w:val="6114304B"/>
    <w:rsid w:val="620B0D6D"/>
    <w:rsid w:val="626C14AC"/>
    <w:rsid w:val="63F805D2"/>
    <w:rsid w:val="69164B73"/>
    <w:rsid w:val="69430488"/>
    <w:rsid w:val="6A8D6A1E"/>
    <w:rsid w:val="6B0B10B5"/>
    <w:rsid w:val="6B8D0D5A"/>
    <w:rsid w:val="6DF371E9"/>
    <w:rsid w:val="70224EA9"/>
    <w:rsid w:val="70ED2EED"/>
    <w:rsid w:val="716C3AA9"/>
    <w:rsid w:val="71E34C67"/>
    <w:rsid w:val="797C1F70"/>
    <w:rsid w:val="7B83751E"/>
    <w:rsid w:val="7CFA0255"/>
    <w:rsid w:val="7E95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1733</Words>
  <Characters>1781</Characters>
  <Lines>0</Lines>
  <Paragraphs>0</Paragraphs>
  <TotalTime>10</TotalTime>
  <ScaleCrop>false</ScaleCrop>
  <LinksUpToDate>false</LinksUpToDate>
  <CharactersWithSpaces>1846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2020-09-24T01:24:00Z</dcterms:created>
  <dc:creator>Administrator</dc:creator>
  <cp:lastModifiedBy>Administrator</cp:lastModifiedBy>
  <dcterms:modified xsi:type="dcterms:W3CDTF">2022-03-16T08:11:31Z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7186768ADF5345FE903589C0B7BE4C57</vt:lpwstr>
  </property>
</Properties>
</file>