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湛江经济技术开发区市场监督管理局</w:t>
      </w:r>
    </w:p>
    <w:p>
      <w:pPr>
        <w:spacing w:line="590" w:lineRule="exact"/>
        <w:jc w:val="center"/>
        <w:rPr>
          <w:rFonts w:hint="eastAsia" w:ascii="仿宋_GB2312" w:eastAsia="仿宋_GB2312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食用农产品快检服务项目</w:t>
      </w:r>
    </w:p>
    <w:p>
      <w:pPr>
        <w:spacing w:line="590" w:lineRule="exact"/>
        <w:jc w:val="center"/>
        <w:rPr>
          <w:rFonts w:hint="eastAsia" w:ascii="仿宋_GB2312" w:eastAsia="仿宋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绩效评价报告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color w:val="auto"/>
          <w:sz w:val="30"/>
          <w:szCs w:val="30"/>
        </w:rPr>
      </w:pP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为加强对</w:t>
      </w:r>
      <w:r>
        <w:rPr>
          <w:rFonts w:hint="eastAsia" w:ascii="仿宋_GB2312" w:eastAsia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食用农产品快检服务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项目资金的使用管理，提高财政资金使用效益，根据《关于印发项目支出绩效评价管理办法的通知》（财预〔2020〕10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湛江经济技术开发区财政局于2022年01月，</w:t>
      </w:r>
      <w:r>
        <w:rPr>
          <w:rFonts w:hint="eastAsia" w:ascii="仿宋_GB2312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湛江经济技术开发区市场监督管理局</w:t>
      </w:r>
      <w:r>
        <w:rPr>
          <w:rFonts w:hint="eastAsia" w:ascii="仿宋_GB2312" w:eastAsia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食用农产品快检</w:t>
      </w:r>
      <w:r>
        <w:rPr>
          <w:rFonts w:hint="eastAsia" w:ascii="仿宋_GB2312" w:eastAsia="仿宋_GB2312"/>
          <w:color w:val="auto"/>
          <w:sz w:val="30"/>
          <w:szCs w:val="30"/>
          <w:lang w:eastAsia="zh-CN"/>
        </w:rPr>
        <w:t>服务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项目80万元进行</w:t>
      </w:r>
      <w:r>
        <w:rPr>
          <w:rFonts w:hint="eastAsia" w:ascii="仿宋_GB2312" w:eastAsia="仿宋_GB2312"/>
          <w:color w:val="auto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color w:val="auto"/>
          <w:sz w:val="30"/>
          <w:szCs w:val="30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auto"/>
          <w:sz w:val="30"/>
          <w:szCs w:val="30"/>
          <w:lang w:eastAsia="zh-CN"/>
        </w:rPr>
        <w:t>食用农产品快检服务</w:t>
      </w:r>
      <w:r>
        <w:rPr>
          <w:rFonts w:hint="eastAsia" w:ascii="仿宋_GB2312" w:eastAsia="仿宋_GB2312" w:cs="Times New Roman"/>
          <w:color w:val="auto"/>
          <w:kern w:val="2"/>
          <w:sz w:val="30"/>
          <w:szCs w:val="30"/>
          <w:lang w:val="en-US" w:eastAsia="zh-CN" w:bidi="ar-SA"/>
        </w:rPr>
        <w:t>项目2021年经费共计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80</w:t>
      </w:r>
      <w:r>
        <w:rPr>
          <w:rFonts w:hint="eastAsia" w:ascii="仿宋_GB2312" w:eastAsia="仿宋_GB2312" w:cs="Times New Roman"/>
          <w:color w:val="auto"/>
          <w:kern w:val="2"/>
          <w:sz w:val="30"/>
          <w:szCs w:val="30"/>
          <w:lang w:val="en-US" w:eastAsia="zh-CN" w:bidi="ar-SA"/>
        </w:rPr>
        <w:t>万元，项目单位为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湛江经济技术开发区市场监督管理局。项目</w:t>
      </w: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资金全部用于对湛江经开区8个农贸市场进行食用农产品检测。项目计划针对辖区内8个农贸贸市场生鲜瓜果蔬菜、肉类和水产品开展有机磷类农药、氦基甲酸酯类农药、拟除虫菊酯类、有机氯类及杀菌剂农药、孔雀氯、氯霉素、硝基呋喃类代谢物残留快速检测，保证辖区内农贸市场的食品安全，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及时发现食品安全隐患，有效防范食品安全风险，有效的保障全区人民群众的食品安全和身体健康，服务民生。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绩效目标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落实经开区农贸市场食用农产品快检职能，保障食品安全状况有序可控，有效遏制不合规农产品上市销售，不合格食用农产品销毁处置率100%，让人民群众吃得更加安全、放心。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项目资金使用及管理情况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食用农产品快检服务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项目2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021年度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预算为</w:t>
      </w:r>
      <w:r>
        <w:rPr>
          <w:rFonts w:hint="eastAsia" w:ascii="仿宋_GB2312" w:eastAsia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80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万元，财政资金到位金额</w:t>
      </w:r>
      <w:r>
        <w:rPr>
          <w:rFonts w:hint="eastAsia" w:ascii="仿宋_GB2312" w:eastAsia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80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万元，财政资金到位率100%，项目支出金额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80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已全部核拨到</w:t>
      </w:r>
      <w:r>
        <w:rPr>
          <w:rFonts w:hint="eastAsia" w:ascii="仿宋_GB2312" w:eastAsia="仿宋_GB2312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湛江经开区8个农贸市场进行食用农产品检测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财政资金支出率为100%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。从核查情况看，</w:t>
      </w:r>
      <w:r>
        <w:rPr>
          <w:rFonts w:hint="eastAsia" w:ascii="仿宋_GB2312" w:eastAsia="仿宋_GB2312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食用农产品快检服务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四、项目组织管理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市监局根据区管委会会议纪要精神，通过网上中介超市选取并确定农产品快速检测机构，将辖区内8家农贸市场食用农产品的快检任务委托中标机构负责，中标机构应按照省局标准要求开展监测任务并对检测结果公示，遇到问题及时与区市监局及时协调沟通处理；区市监局应结合涉及项目检测的开发区各市场的实际情况，规划并确认相应的检测计划和任务，建立和完善目标责任和考核体系，并安排专人负责跟踪整个工作过程，做好中标机构的检测记录，保质保量切实完成对辖区内8家农贸市场食用农产品的快检任务，并顺利通过省市区对食用农产品快检工作的考核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该项目建设实现预期目标。项目立项切合实际、申报基本合规，项目按期开工，资金使用合规。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（一）项目的经济性分析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食品安全状况良好，助力创建示范城市。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区市监局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有效落实了食用农产品快检职能，实现了全区农贸市场快检工作常态化。全年综合检测合格率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较高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，食用安全状况良好，完成创建目标要</w:t>
      </w:r>
      <w:r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求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，有效遏制不合格蔬菜上市销售流通，防范食品安全风险，保障市民食品安全。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（二）项目的效率性分析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1、项目的实施进度。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已完成2020年下半年监测批次，在2021年上半年共完成了湛江经开区8个农贸市场食用农产品检测批次15415批次，超额完成任务。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2、项目完成质量。责任科室及实施单位均按照方案要求，紧跟工作进度，确保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检测</w:t>
      </w:r>
      <w:r>
        <w:rPr>
          <w:rFonts w:hint="default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工作质量，均达到预期的效果。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（三）项目的效益性分析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1、通过检测服务，可以大大提高农产品质量和安全性，促进区域内无公害农产品和绿色食品的发展，有效地提高人们生活质量，保障城乡人民生命安全。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、通过检测服务 ，可以引导农民按照市场和消费者的需求进行无公害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产，有效地提高农民收入及农业和农村经济綜合效益。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、通过检测服务，可以引导农民和农业生产 ，合理投人化学合成物质，降低农业生产成本，减少环境污染，保护环境，进而推进农业可持续发展战略的实施。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主要经验及做法、存在的问题和建议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（一）项目实施的主要经验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b w:val="0"/>
          <w:bCs w:val="0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加强宣传，利用各种宣传媒介，向社会和广大基层民众深入宣传项目检测的目的和意义，维护食品安全问题。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规范管理，加强资金监管，严格按照财政部有关规定，实行专项管理、专账核算、专款专用，提高资金使用效益。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细化检测任务，明确工作责任，在对检测项目必须按照省局标准要求严格进行检测，并将检验结果准时送达市场开办者且协助市场开办者公示。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（二）存在问题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1、农贸市场经营主体意识薄弱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辖区内从事食用农产品管理和销售的大部分人员文化程度低，安全意识薄弱。例如，要求承包农贸市场的经营主体每天在早市时，对市场内的农产品进行抽样检测，并将结果公布。经营主体却认为检测过程繁琐，没有必要，且认为农民售卖的蔬菜等不会出现所谓的农药残留超标情况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30"/>
          <w:szCs w:val="3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30"/>
          <w:szCs w:val="3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未发挥快检的预警作用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30"/>
          <w:szCs w:val="3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由于农贸市场中经营主体有固定的摊位和散户农民，农民一般售卖点具有流动性，监管部门难以对零散的食用农产品进行动态追溯，这就容易造成只是公布检测后的结果数据，而没有针对零散主体进行结果告知，提示其售卖的该批产品可能存在检测不合格等问题，建议停止售卖，导致快检的预警作用失效。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eastAsia="仿宋_GB2312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eastAsia="仿宋_GB2312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解决措施及相关建议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加强食用农产品政策宣传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食用农产品是从农田到农贸市场:经过生产、加工等工序，进入餐桌上的食品，其安全直接关系到群众的身体健康。因此，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区市监局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要加强对基层消费者和经验者食品安全知识的宣传，通过网络、报纸、电视等方式让他们对国家政策从不懂到了解，从了解到深入，从深入到自觉履行。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. 充分发挥快检预警作用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快检工作的最终目的是保障“菜篮子”安全。农贸市场管理主体要对零散售卖主体采取定位、签到等手段，实现对零散农民的食用农产品的可追溯;加强不合格产品的后续处理和持续性监管，及时告知销售商不要再进该批不合格农产品，积极发挥快检技术在日常监管工作中的预警作用。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b/>
          <w:bCs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七、综合评价情况及评价结论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绩效评价方法，遵循“客观、公证、科学、规范”的原则，采用目标预定与实施效果相比较的评价方法，通过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电话沟通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、核实相关资料等环节，结合现场评价情况，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得出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绩效评价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结果，</w:t>
      </w:r>
      <w:r>
        <w:rPr>
          <w:rFonts w:hint="eastAsia" w:ascii="仿宋_GB2312" w:eastAsia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食用农产品快检服务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评价结果为</w:t>
      </w: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91分（详见附表）</w:t>
      </w:r>
      <w:r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湛江中安信会计师事务所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2022年1月19</w:t>
      </w:r>
      <w:bookmarkStart w:id="0" w:name="_GoBack"/>
      <w:bookmarkEnd w:id="0"/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1C9750B"/>
    <w:multiLevelType w:val="singleLevel"/>
    <w:tmpl w:val="51C9750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0051A79"/>
    <w:rsid w:val="0497740F"/>
    <w:rsid w:val="0CFB61AE"/>
    <w:rsid w:val="0D2D3262"/>
    <w:rsid w:val="0D820CFE"/>
    <w:rsid w:val="0E7712C4"/>
    <w:rsid w:val="10EA41B2"/>
    <w:rsid w:val="12E877F0"/>
    <w:rsid w:val="1A903DE6"/>
    <w:rsid w:val="1C367846"/>
    <w:rsid w:val="226A2AB9"/>
    <w:rsid w:val="232D1A99"/>
    <w:rsid w:val="247054C4"/>
    <w:rsid w:val="26D43902"/>
    <w:rsid w:val="29364AA5"/>
    <w:rsid w:val="2B994221"/>
    <w:rsid w:val="306A3706"/>
    <w:rsid w:val="329A5453"/>
    <w:rsid w:val="33862977"/>
    <w:rsid w:val="34AC52EB"/>
    <w:rsid w:val="382F5CBE"/>
    <w:rsid w:val="396A74D3"/>
    <w:rsid w:val="3A4F2F2E"/>
    <w:rsid w:val="3AA31A98"/>
    <w:rsid w:val="3E8729B2"/>
    <w:rsid w:val="3FA94555"/>
    <w:rsid w:val="43DB37C3"/>
    <w:rsid w:val="46647920"/>
    <w:rsid w:val="477536A2"/>
    <w:rsid w:val="4B7A6470"/>
    <w:rsid w:val="4D4E44D3"/>
    <w:rsid w:val="4EB367EF"/>
    <w:rsid w:val="501C767F"/>
    <w:rsid w:val="50D65FF3"/>
    <w:rsid w:val="50E8551B"/>
    <w:rsid w:val="53F63612"/>
    <w:rsid w:val="56D85603"/>
    <w:rsid w:val="5B7326E1"/>
    <w:rsid w:val="5EB822E6"/>
    <w:rsid w:val="5FEA038D"/>
    <w:rsid w:val="60CC138D"/>
    <w:rsid w:val="626C14AC"/>
    <w:rsid w:val="63F805D2"/>
    <w:rsid w:val="662E3AC4"/>
    <w:rsid w:val="69164B73"/>
    <w:rsid w:val="693B6D72"/>
    <w:rsid w:val="6DF371E9"/>
    <w:rsid w:val="716C3AA9"/>
    <w:rsid w:val="72731555"/>
    <w:rsid w:val="74407D68"/>
    <w:rsid w:val="797C1F70"/>
    <w:rsid w:val="7E950A27"/>
    <w:rsid w:val="7EC9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2022-03-16T09:56:18Z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08AAE0D28B9843A8B941315223C945BD</vt:lpwstr>
  </property>
</Properties>
</file>