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image/x-emf" PartName="/word/media/image1.emf"/>
  <Default ContentType="image/png" Extension="pn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ind w:firstLine="0" w:firstLineChars="0"/>
        <w:rPr>
          <w:rFonts w:ascii="黑体" w:hAnsi="黑体" w:eastAsia="黑体"/>
          <w:bCs/>
          <w:color w:val="auto"/>
          <w:sz w:val="52"/>
          <w:szCs w:val="52"/>
        </w:rPr>
      </w:pPr>
      <w:bookmarkStart w:id="0" w:name="_Toc150760929"/>
    </w:p>
    <w:p>
      <w:pPr>
        <w:ind w:firstLine="0" w:firstLineChars="0"/>
        <w:rPr>
          <w:rFonts w:ascii="黑体" w:hAnsi="黑体" w:eastAsia="黑体"/>
          <w:bCs/>
          <w:color w:val="auto"/>
          <w:sz w:val="52"/>
          <w:szCs w:val="52"/>
        </w:rPr>
      </w:pPr>
    </w:p>
    <w:p>
      <w:pPr>
        <w:ind w:firstLine="0" w:firstLineChars="0"/>
        <w:jc w:val="center"/>
        <w:rPr>
          <w:rFonts w:ascii="黑体" w:hAnsi="黑体" w:eastAsia="黑体"/>
          <w:bCs/>
          <w:color w:val="auto"/>
          <w:sz w:val="52"/>
          <w:szCs w:val="52"/>
        </w:rPr>
      </w:pPr>
      <w:r>
        <w:rPr>
          <w:rFonts w:hint="eastAsia" w:ascii="黑体" w:hAnsi="黑体" w:eastAsia="黑体"/>
          <w:bCs/>
          <w:color w:val="auto"/>
          <w:sz w:val="52"/>
          <w:szCs w:val="52"/>
        </w:rPr>
        <w:t>湛江</w:t>
      </w:r>
      <w:r>
        <w:rPr>
          <w:rFonts w:ascii="黑体" w:hAnsi="黑体" w:eastAsia="黑体"/>
          <w:bCs/>
          <w:color w:val="auto"/>
          <w:sz w:val="52"/>
          <w:szCs w:val="52"/>
        </w:rPr>
        <w:t>经济技术开发区畜禽养殖禁养区</w:t>
      </w:r>
    </w:p>
    <w:p>
      <w:pPr>
        <w:ind w:firstLine="0" w:firstLineChars="0"/>
        <w:jc w:val="center"/>
        <w:rPr>
          <w:rFonts w:ascii="黑体" w:hAnsi="黑体" w:eastAsia="黑体"/>
          <w:bCs/>
          <w:color w:val="auto"/>
          <w:sz w:val="52"/>
          <w:szCs w:val="52"/>
        </w:rPr>
      </w:pPr>
      <w:r>
        <w:rPr>
          <w:rFonts w:ascii="黑体" w:hAnsi="黑体" w:eastAsia="黑体"/>
          <w:bCs/>
          <w:color w:val="auto"/>
          <w:sz w:val="52"/>
          <w:szCs w:val="52"/>
        </w:rPr>
        <w:t>划定调整方案</w:t>
      </w:r>
    </w:p>
    <w:p>
      <w:pPr>
        <w:ind w:firstLine="0" w:firstLineChars="0"/>
        <w:jc w:val="center"/>
        <w:rPr>
          <w:rFonts w:hint="eastAsia" w:ascii="黑体" w:hAnsi="黑体" w:eastAsia="黑体"/>
          <w:bCs/>
          <w:color w:val="auto"/>
          <w:sz w:val="52"/>
          <w:szCs w:val="52"/>
          <w:lang w:val="en-US" w:eastAsia="zh-CN"/>
        </w:rPr>
      </w:pPr>
      <w:r>
        <w:rPr>
          <w:rFonts w:hint="eastAsia" w:ascii="黑体" w:hAnsi="黑体" w:eastAsia="黑体"/>
          <w:bCs/>
          <w:color w:val="auto"/>
          <w:sz w:val="52"/>
          <w:szCs w:val="52"/>
          <w:lang w:val="en-US" w:eastAsia="zh-CN"/>
        </w:rPr>
        <w:t>(征求意见稿)</w:t>
      </w:r>
    </w:p>
    <w:p>
      <w:pPr>
        <w:ind w:firstLine="0" w:firstLineChars="0"/>
        <w:jc w:val="center"/>
        <w:rPr>
          <w:rFonts w:ascii="黑体" w:hAnsi="黑体" w:eastAsia="黑体"/>
          <w:color w:val="auto"/>
          <w:sz w:val="52"/>
          <w:szCs w:val="52"/>
        </w:rPr>
      </w:pPr>
    </w:p>
    <w:p>
      <w:pPr>
        <w:ind w:firstLine="0" w:firstLineChars="0"/>
        <w:jc w:val="center"/>
        <w:rPr>
          <w:rFonts w:ascii="黑体" w:hAnsi="黑体" w:eastAsia="黑体"/>
          <w:color w:val="auto"/>
          <w:sz w:val="52"/>
          <w:szCs w:val="52"/>
        </w:rPr>
      </w:pPr>
    </w:p>
    <w:p>
      <w:pPr>
        <w:ind w:firstLine="0" w:firstLineChars="0"/>
        <w:jc w:val="center"/>
        <w:rPr>
          <w:rFonts w:ascii="黑体" w:hAnsi="黑体" w:eastAsia="黑体"/>
          <w:color w:val="auto"/>
          <w:sz w:val="52"/>
          <w:szCs w:val="52"/>
        </w:rPr>
      </w:pPr>
    </w:p>
    <w:p>
      <w:pPr>
        <w:ind w:firstLine="0" w:firstLineChars="0"/>
        <w:jc w:val="center"/>
        <w:rPr>
          <w:rFonts w:ascii="黑体" w:hAnsi="黑体" w:eastAsia="黑体"/>
          <w:color w:val="auto"/>
          <w:sz w:val="52"/>
          <w:szCs w:val="52"/>
        </w:rPr>
      </w:pPr>
    </w:p>
    <w:p>
      <w:pPr>
        <w:ind w:firstLine="0" w:firstLineChars="0"/>
        <w:jc w:val="center"/>
        <w:rPr>
          <w:rFonts w:ascii="黑体" w:hAnsi="黑体" w:eastAsia="黑体"/>
          <w:color w:val="auto"/>
          <w:sz w:val="52"/>
          <w:szCs w:val="52"/>
        </w:rPr>
      </w:pPr>
    </w:p>
    <w:p>
      <w:pPr>
        <w:ind w:firstLine="0" w:firstLineChars="0"/>
        <w:jc w:val="center"/>
        <w:rPr>
          <w:rFonts w:ascii="黑体" w:hAnsi="黑体" w:eastAsia="黑体"/>
          <w:color w:val="auto"/>
          <w:sz w:val="52"/>
          <w:szCs w:val="52"/>
        </w:rPr>
      </w:pPr>
    </w:p>
    <w:p>
      <w:pPr>
        <w:ind w:firstLine="0" w:firstLineChars="0"/>
        <w:jc w:val="both"/>
        <w:rPr>
          <w:rFonts w:ascii="黑体" w:hAnsi="黑体" w:eastAsia="黑体"/>
          <w:color w:val="auto"/>
          <w:sz w:val="52"/>
          <w:szCs w:val="52"/>
        </w:rPr>
      </w:pPr>
    </w:p>
    <w:p>
      <w:pPr>
        <w:ind w:firstLine="0" w:firstLineChars="0"/>
        <w:jc w:val="center"/>
        <w:rPr>
          <w:rFonts w:ascii="黑体" w:hAnsi="黑体" w:eastAsia="黑体"/>
          <w:color w:val="auto"/>
          <w:sz w:val="52"/>
          <w:szCs w:val="52"/>
        </w:rPr>
      </w:pPr>
    </w:p>
    <w:p>
      <w:pPr>
        <w:ind w:firstLine="0" w:firstLineChars="0"/>
        <w:jc w:val="center"/>
        <w:rPr>
          <w:rFonts w:ascii="黑体" w:hAnsi="黑体" w:eastAsia="黑体"/>
          <w:color w:val="auto"/>
          <w:sz w:val="52"/>
          <w:szCs w:val="52"/>
        </w:rPr>
        <w:sectPr>
          <w:headerReference r:id="rId6" w:type="first"/>
          <w:footerReference r:id="rId9" w:type="first"/>
          <w:headerReference r:id="rId4" w:type="default"/>
          <w:footerReference r:id="rId7" w:type="default"/>
          <w:headerReference r:id="rId5" w:type="even"/>
          <w:footerReference r:id="rId8" w:type="even"/>
          <w:pgSz w:w="11906" w:h="16838"/>
          <w:pgMar w:top="1418" w:right="1418" w:bottom="1418" w:left="1418" w:header="851" w:footer="992" w:gutter="0"/>
          <w:cols w:space="425" w:num="1"/>
          <w:docGrid w:type="lines" w:linePitch="326" w:charSpace="0"/>
        </w:sectPr>
      </w:pPr>
      <w:r>
        <w:rPr>
          <w:rFonts w:eastAsia="黑体"/>
          <w:color w:val="auto"/>
          <w:sz w:val="36"/>
          <w:szCs w:val="36"/>
        </w:rPr>
        <w:t>二〇二</w:t>
      </w:r>
      <w:r>
        <w:rPr>
          <w:rFonts w:hint="eastAsia" w:eastAsia="黑体"/>
          <w:color w:val="auto"/>
          <w:sz w:val="36"/>
          <w:szCs w:val="36"/>
        </w:rPr>
        <w:t>四</w:t>
      </w:r>
      <w:r>
        <w:rPr>
          <w:rFonts w:eastAsia="黑体"/>
          <w:color w:val="auto"/>
          <w:sz w:val="36"/>
          <w:szCs w:val="36"/>
        </w:rPr>
        <w:t>年</w:t>
      </w:r>
      <w:r>
        <w:rPr>
          <w:rFonts w:hint="eastAsia" w:eastAsia="黑体"/>
          <w:color w:val="auto"/>
          <w:sz w:val="36"/>
          <w:szCs w:val="36"/>
        </w:rPr>
        <w:t>七</w:t>
      </w:r>
      <w:r>
        <w:rPr>
          <w:rFonts w:eastAsia="黑体"/>
          <w:color w:val="auto"/>
          <w:sz w:val="36"/>
          <w:szCs w:val="36"/>
        </w:rPr>
        <w:t>月</w:t>
      </w:r>
    </w:p>
    <w:p>
      <w:pPr>
        <w:ind w:firstLine="0" w:firstLineChars="0"/>
        <w:jc w:val="center"/>
        <w:rPr>
          <w:rFonts w:eastAsia="宋体"/>
          <w:color w:val="auto"/>
          <w:sz w:val="36"/>
        </w:rPr>
      </w:pPr>
      <w:r>
        <w:rPr>
          <w:rFonts w:hint="eastAsia" w:eastAsia="宋体"/>
          <w:color w:val="auto"/>
          <w:sz w:val="36"/>
        </w:rPr>
        <w:t>目录</w:t>
      </w:r>
    </w:p>
    <w:p>
      <w:pPr>
        <w:pStyle w:val="19"/>
        <w:spacing w:before="0" w:line="240" w:lineRule="auto"/>
        <w:rPr>
          <w:color w:val="auto"/>
        </w:rPr>
      </w:pPr>
    </w:p>
    <w:p>
      <w:pPr>
        <w:pStyle w:val="7"/>
        <w:rPr>
          <w:rFonts w:ascii="Calibri" w:hAnsi="Calibri"/>
          <w:b w:val="0"/>
          <w:color w:val="auto"/>
          <w:sz w:val="21"/>
        </w:rPr>
      </w:pPr>
      <w:r>
        <w:rPr>
          <w:color w:val="auto"/>
        </w:rPr>
        <w:fldChar w:fldCharType="begin"/>
      </w:r>
      <w:r>
        <w:rPr>
          <w:color w:val="auto"/>
        </w:rPr>
        <w:instrText xml:space="preserve"> TOC \o "1-3" \h \z \u </w:instrText>
      </w:r>
      <w:r>
        <w:rPr>
          <w:color w:val="auto"/>
        </w:rPr>
        <w:fldChar w:fldCharType="separate"/>
      </w:r>
      <w:r>
        <w:rPr>
          <w:color w:val="auto"/>
        </w:rPr>
        <w:fldChar w:fldCharType="begin"/>
      </w:r>
      <w:r>
        <w:rPr>
          <w:color w:val="auto"/>
        </w:rPr>
        <w:instrText xml:space="preserve">HYPERLINK  \l "_Toc171516459" </w:instrText>
      </w:r>
      <w:r>
        <w:rPr>
          <w:color w:val="auto"/>
        </w:rPr>
        <w:fldChar w:fldCharType="separate"/>
      </w:r>
      <w:r>
        <w:rPr>
          <w:rStyle w:val="10"/>
          <w:color w:val="auto"/>
        </w:rPr>
        <w:t>1</w:t>
      </w:r>
      <w:r>
        <w:rPr>
          <w:rFonts w:ascii="Calibri" w:hAnsi="Calibri"/>
          <w:b w:val="0"/>
          <w:color w:val="auto"/>
          <w:sz w:val="21"/>
        </w:rPr>
        <w:tab/>
      </w:r>
      <w:r>
        <w:rPr>
          <w:rStyle w:val="10"/>
          <w:rFonts w:hint="eastAsia"/>
          <w:color w:val="auto"/>
        </w:rPr>
        <w:t>总则</w:t>
      </w:r>
      <w:r>
        <w:rPr>
          <w:color w:val="auto"/>
        </w:rPr>
        <w:tab/>
      </w:r>
      <w:r>
        <w:rPr>
          <w:color w:val="auto"/>
        </w:rPr>
        <w:fldChar w:fldCharType="begin"/>
      </w:r>
      <w:r>
        <w:rPr>
          <w:color w:val="auto"/>
        </w:rPr>
        <w:instrText xml:space="preserve"> PAGEREF _Toc171516459 \h </w:instrText>
      </w:r>
      <w:r>
        <w:rPr>
          <w:color w:val="auto"/>
        </w:rPr>
        <w:fldChar w:fldCharType="separate"/>
      </w:r>
      <w:r>
        <w:rPr>
          <w:color w:val="auto"/>
        </w:rPr>
        <w:t>1</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"_Toc171516460" </w:instrText>
      </w:r>
      <w:r>
        <w:rPr>
          <w:color w:val="auto"/>
        </w:rPr>
        <w:fldChar w:fldCharType="separate"/>
      </w:r>
      <w:r>
        <w:rPr>
          <w:rStyle w:val="10"/>
          <w:color w:val="auto"/>
        </w:rPr>
        <w:t>1.1</w:t>
      </w:r>
      <w:r>
        <w:rPr>
          <w:rFonts w:ascii="Calibri" w:hAnsi="Calibri"/>
          <w:color w:val="auto"/>
          <w:sz w:val="21"/>
        </w:rPr>
        <w:tab/>
      </w:r>
      <w:r>
        <w:rPr>
          <w:rStyle w:val="10"/>
          <w:rFonts w:hint="eastAsia"/>
          <w:color w:val="auto"/>
        </w:rPr>
        <w:t>编制背景</w:t>
      </w:r>
      <w:r>
        <w:rPr>
          <w:color w:val="auto"/>
        </w:rPr>
        <w:tab/>
      </w:r>
      <w:r>
        <w:rPr>
          <w:color w:val="auto"/>
        </w:rPr>
        <w:fldChar w:fldCharType="begin"/>
      </w:r>
      <w:r>
        <w:rPr>
          <w:color w:val="auto"/>
        </w:rPr>
        <w:instrText xml:space="preserve"> PAGEREF _Toc171516460 \h </w:instrText>
      </w:r>
      <w:r>
        <w:rPr>
          <w:color w:val="auto"/>
        </w:rPr>
        <w:fldChar w:fldCharType="separate"/>
      </w:r>
      <w:r>
        <w:rPr>
          <w:color w:val="auto"/>
        </w:rPr>
        <w:t>1</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"_Toc171516461" </w:instrText>
      </w:r>
      <w:r>
        <w:rPr>
          <w:color w:val="auto"/>
        </w:rPr>
        <w:fldChar w:fldCharType="separate"/>
      </w:r>
      <w:r>
        <w:rPr>
          <w:rStyle w:val="10"/>
          <w:color w:val="auto"/>
        </w:rPr>
        <w:t>1.2</w:t>
      </w:r>
      <w:r>
        <w:rPr>
          <w:rFonts w:ascii="Calibri" w:hAnsi="Calibri"/>
          <w:color w:val="auto"/>
          <w:sz w:val="21"/>
        </w:rPr>
        <w:tab/>
      </w:r>
      <w:r>
        <w:rPr>
          <w:rStyle w:val="10"/>
          <w:rFonts w:hint="eastAsia"/>
          <w:color w:val="auto"/>
        </w:rPr>
        <w:t>指导思想</w:t>
      </w:r>
      <w:r>
        <w:rPr>
          <w:color w:val="auto"/>
        </w:rPr>
        <w:tab/>
      </w:r>
      <w:r>
        <w:rPr>
          <w:color w:val="auto"/>
        </w:rPr>
        <w:fldChar w:fldCharType="begin"/>
      </w:r>
      <w:r>
        <w:rPr>
          <w:color w:val="auto"/>
        </w:rPr>
        <w:instrText xml:space="preserve"> PAGEREF _Toc171516461 \h </w:instrText>
      </w:r>
      <w:r>
        <w:rPr>
          <w:color w:val="auto"/>
        </w:rPr>
        <w:fldChar w:fldCharType="separate"/>
      </w:r>
      <w:r>
        <w:rPr>
          <w:color w:val="auto"/>
        </w:rPr>
        <w:t>1</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"_Toc171516462" </w:instrText>
      </w:r>
      <w:r>
        <w:rPr>
          <w:color w:val="auto"/>
        </w:rPr>
        <w:fldChar w:fldCharType="separate"/>
      </w:r>
      <w:r>
        <w:rPr>
          <w:rStyle w:val="10"/>
          <w:color w:val="auto"/>
        </w:rPr>
        <w:t>1.3</w:t>
      </w:r>
      <w:r>
        <w:rPr>
          <w:rFonts w:ascii="Calibri" w:hAnsi="Calibri"/>
          <w:color w:val="auto"/>
          <w:sz w:val="21"/>
        </w:rPr>
        <w:tab/>
      </w:r>
      <w:r>
        <w:rPr>
          <w:rStyle w:val="10"/>
          <w:rFonts w:hint="eastAsia"/>
          <w:color w:val="auto"/>
        </w:rPr>
        <w:t>划分原则</w:t>
      </w:r>
      <w:r>
        <w:rPr>
          <w:color w:val="auto"/>
        </w:rPr>
        <w:tab/>
      </w:r>
      <w:r>
        <w:rPr>
          <w:color w:val="auto"/>
        </w:rPr>
        <w:fldChar w:fldCharType="begin"/>
      </w:r>
      <w:r>
        <w:rPr>
          <w:color w:val="auto"/>
        </w:rPr>
        <w:instrText xml:space="preserve"> PAGEREF _Toc171516462 \h </w:instrText>
      </w:r>
      <w:r>
        <w:rPr>
          <w:color w:val="auto"/>
        </w:rPr>
        <w:fldChar w:fldCharType="separate"/>
      </w:r>
      <w:r>
        <w:rPr>
          <w:color w:val="auto"/>
        </w:rPr>
        <w:t>2</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"_Toc171516463" </w:instrText>
      </w:r>
      <w:r>
        <w:rPr>
          <w:color w:val="auto"/>
        </w:rPr>
        <w:fldChar w:fldCharType="separate"/>
      </w:r>
      <w:r>
        <w:rPr>
          <w:rStyle w:val="10"/>
          <w:color w:val="auto"/>
        </w:rPr>
        <w:t>1.4</w:t>
      </w:r>
      <w:r>
        <w:rPr>
          <w:rFonts w:ascii="Calibri" w:hAnsi="Calibri"/>
          <w:color w:val="auto"/>
          <w:sz w:val="21"/>
        </w:rPr>
        <w:tab/>
      </w:r>
      <w:r>
        <w:rPr>
          <w:rStyle w:val="10"/>
          <w:rFonts w:hint="eastAsia"/>
          <w:color w:val="auto"/>
        </w:rPr>
        <w:t>编制依据</w:t>
      </w:r>
      <w:r>
        <w:rPr>
          <w:color w:val="auto"/>
        </w:rPr>
        <w:tab/>
      </w:r>
      <w:r>
        <w:rPr>
          <w:color w:val="auto"/>
        </w:rPr>
        <w:fldChar w:fldCharType="begin"/>
      </w:r>
      <w:r>
        <w:rPr>
          <w:color w:val="auto"/>
        </w:rPr>
        <w:instrText xml:space="preserve"> PAGEREF _Toc171516463 \h </w:instrText>
      </w:r>
      <w:r>
        <w:rPr>
          <w:color w:val="auto"/>
        </w:rPr>
        <w:fldChar w:fldCharType="separate"/>
      </w:r>
      <w:r>
        <w:rPr>
          <w:color w:val="auto"/>
        </w:rPr>
        <w:t>2</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"_Toc171516464" </w:instrText>
      </w:r>
      <w:r>
        <w:rPr>
          <w:color w:val="auto"/>
        </w:rPr>
        <w:fldChar w:fldCharType="separate"/>
      </w:r>
      <w:r>
        <w:rPr>
          <w:rStyle w:val="10"/>
          <w:color w:val="auto"/>
        </w:rPr>
        <w:t>1.5</w:t>
      </w:r>
      <w:r>
        <w:rPr>
          <w:rFonts w:ascii="Calibri" w:hAnsi="Calibri"/>
          <w:color w:val="auto"/>
          <w:sz w:val="21"/>
        </w:rPr>
        <w:tab/>
      </w:r>
      <w:r>
        <w:rPr>
          <w:rStyle w:val="10"/>
          <w:rFonts w:hint="eastAsia"/>
          <w:color w:val="auto"/>
        </w:rPr>
        <w:t>术语与定义</w:t>
      </w:r>
      <w:r>
        <w:rPr>
          <w:color w:val="auto"/>
        </w:rPr>
        <w:tab/>
      </w:r>
      <w:r>
        <w:rPr>
          <w:color w:val="auto"/>
        </w:rPr>
        <w:fldChar w:fldCharType="begin"/>
      </w:r>
      <w:r>
        <w:rPr>
          <w:color w:val="auto"/>
        </w:rPr>
        <w:instrText xml:space="preserve"> PAGEREF _Toc171516464 \h </w:instrText>
      </w:r>
      <w:r>
        <w:rPr>
          <w:color w:val="auto"/>
        </w:rPr>
        <w:fldChar w:fldCharType="separate"/>
      </w:r>
      <w:r>
        <w:rPr>
          <w:color w:val="auto"/>
        </w:rPr>
        <w:t>3</w:t>
      </w:r>
      <w:r>
        <w:rPr>
          <w:color w:val="auto"/>
        </w:rPr>
        <w:fldChar w:fldCharType="end"/>
      </w:r>
      <w:r>
        <w:rPr>
          <w:color w:val="auto"/>
        </w:rPr>
        <w:fldChar w:fldCharType="end"/>
      </w:r>
    </w:p>
    <w:p>
      <w:pPr>
        <w:pStyle w:val="7"/>
        <w:rPr>
          <w:rFonts w:ascii="Calibri" w:hAnsi="Calibri"/>
          <w:b w:val="0"/>
          <w:color w:val="auto"/>
          <w:sz w:val="21"/>
        </w:rPr>
      </w:pPr>
      <w:r>
        <w:rPr>
          <w:color w:val="auto"/>
        </w:rPr>
        <w:fldChar w:fldCharType="begin"/>
      </w:r>
      <w:r>
        <w:rPr>
          <w:color w:val="auto"/>
        </w:rPr>
        <w:instrText xml:space="preserve">HYPERLINK  \l "_Toc171516465" </w:instrText>
      </w:r>
      <w:r>
        <w:rPr>
          <w:color w:val="auto"/>
        </w:rPr>
        <w:fldChar w:fldCharType="separate"/>
      </w:r>
      <w:r>
        <w:rPr>
          <w:rStyle w:val="10"/>
          <w:color w:val="auto"/>
        </w:rPr>
        <w:t>2</w:t>
      </w:r>
      <w:r>
        <w:rPr>
          <w:rFonts w:ascii="Calibri" w:hAnsi="Calibri"/>
          <w:b w:val="0"/>
          <w:color w:val="auto"/>
          <w:sz w:val="21"/>
        </w:rPr>
        <w:tab/>
      </w:r>
      <w:r>
        <w:rPr>
          <w:rStyle w:val="10"/>
          <w:rFonts w:hint="eastAsia"/>
          <w:color w:val="auto"/>
        </w:rPr>
        <w:t>区域概况</w:t>
      </w:r>
      <w:r>
        <w:rPr>
          <w:color w:val="auto"/>
        </w:rPr>
        <w:tab/>
      </w:r>
      <w:r>
        <w:rPr>
          <w:color w:val="auto"/>
        </w:rPr>
        <w:fldChar w:fldCharType="begin"/>
      </w:r>
      <w:r>
        <w:rPr>
          <w:color w:val="auto"/>
        </w:rPr>
        <w:instrText xml:space="preserve"> PAGEREF _Toc171516465 \h </w:instrText>
      </w:r>
      <w:r>
        <w:rPr>
          <w:color w:val="auto"/>
        </w:rPr>
        <w:fldChar w:fldCharType="separate"/>
      </w:r>
      <w:r>
        <w:rPr>
          <w:color w:val="auto"/>
        </w:rPr>
        <w:t>6</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"_Toc171516466" </w:instrText>
      </w:r>
      <w:r>
        <w:rPr>
          <w:color w:val="auto"/>
        </w:rPr>
        <w:fldChar w:fldCharType="separate"/>
      </w:r>
      <w:r>
        <w:rPr>
          <w:rStyle w:val="10"/>
          <w:color w:val="auto"/>
        </w:rPr>
        <w:t>2.1</w:t>
      </w:r>
      <w:r>
        <w:rPr>
          <w:rFonts w:ascii="Calibri" w:hAnsi="Calibri"/>
          <w:color w:val="auto"/>
          <w:sz w:val="21"/>
        </w:rPr>
        <w:tab/>
      </w:r>
      <w:r>
        <w:rPr>
          <w:rStyle w:val="10"/>
          <w:rFonts w:hint="eastAsia"/>
          <w:color w:val="auto"/>
        </w:rPr>
        <w:t>地理位置</w:t>
      </w:r>
      <w:r>
        <w:rPr>
          <w:color w:val="auto"/>
        </w:rPr>
        <w:tab/>
      </w:r>
      <w:r>
        <w:rPr>
          <w:color w:val="auto"/>
        </w:rPr>
        <w:fldChar w:fldCharType="begin"/>
      </w:r>
      <w:r>
        <w:rPr>
          <w:color w:val="auto"/>
        </w:rPr>
        <w:instrText xml:space="preserve"> PAGEREF _Toc171516466 \h </w:instrText>
      </w:r>
      <w:r>
        <w:rPr>
          <w:color w:val="auto"/>
        </w:rPr>
        <w:fldChar w:fldCharType="separate"/>
      </w:r>
      <w:r>
        <w:rPr>
          <w:color w:val="auto"/>
        </w:rPr>
        <w:t>6</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"_Toc171516467" </w:instrText>
      </w:r>
      <w:r>
        <w:rPr>
          <w:color w:val="auto"/>
        </w:rPr>
        <w:fldChar w:fldCharType="separate"/>
      </w:r>
      <w:r>
        <w:rPr>
          <w:rStyle w:val="10"/>
          <w:color w:val="auto"/>
        </w:rPr>
        <w:t>2.2</w:t>
      </w:r>
      <w:r>
        <w:rPr>
          <w:rFonts w:ascii="Calibri" w:hAnsi="Calibri"/>
          <w:color w:val="auto"/>
          <w:sz w:val="21"/>
        </w:rPr>
        <w:tab/>
      </w:r>
      <w:r>
        <w:rPr>
          <w:rStyle w:val="10"/>
          <w:rFonts w:hint="eastAsia"/>
          <w:color w:val="auto"/>
        </w:rPr>
        <w:t>自然环境概况</w:t>
      </w:r>
      <w:r>
        <w:rPr>
          <w:color w:val="auto"/>
        </w:rPr>
        <w:tab/>
      </w:r>
      <w:r>
        <w:rPr>
          <w:color w:val="auto"/>
        </w:rPr>
        <w:fldChar w:fldCharType="begin"/>
      </w:r>
      <w:r>
        <w:rPr>
          <w:color w:val="auto"/>
        </w:rPr>
        <w:instrText xml:space="preserve"> PAGEREF _Toc171516467 \h </w:instrText>
      </w:r>
      <w:r>
        <w:rPr>
          <w:color w:val="auto"/>
        </w:rPr>
        <w:fldChar w:fldCharType="separate"/>
      </w:r>
      <w:r>
        <w:rPr>
          <w:color w:val="auto"/>
        </w:rPr>
        <w:t>6</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"_Toc171516468" </w:instrText>
      </w:r>
      <w:r>
        <w:rPr>
          <w:color w:val="auto"/>
        </w:rPr>
        <w:fldChar w:fldCharType="separate"/>
      </w:r>
      <w:r>
        <w:rPr>
          <w:rStyle w:val="10"/>
          <w:color w:val="auto"/>
        </w:rPr>
        <w:t>2.2.1</w:t>
      </w:r>
      <w:r>
        <w:rPr>
          <w:rFonts w:ascii="Calibri" w:hAnsi="Calibri"/>
          <w:color w:val="auto"/>
          <w:sz w:val="21"/>
        </w:rPr>
        <w:tab/>
      </w:r>
      <w:r>
        <w:rPr>
          <w:rStyle w:val="10"/>
          <w:rFonts w:hint="eastAsia"/>
          <w:color w:val="auto"/>
        </w:rPr>
        <w:t>气候特征</w:t>
      </w:r>
      <w:r>
        <w:rPr>
          <w:color w:val="auto"/>
        </w:rPr>
        <w:tab/>
      </w:r>
      <w:r>
        <w:rPr>
          <w:color w:val="auto"/>
        </w:rPr>
        <w:fldChar w:fldCharType="begin"/>
      </w:r>
      <w:r>
        <w:rPr>
          <w:color w:val="auto"/>
        </w:rPr>
        <w:instrText xml:space="preserve"> PAGEREF _Toc171516468 \h </w:instrText>
      </w:r>
      <w:r>
        <w:rPr>
          <w:color w:val="auto"/>
        </w:rPr>
        <w:fldChar w:fldCharType="separate"/>
      </w:r>
      <w:r>
        <w:rPr>
          <w:color w:val="auto"/>
        </w:rPr>
        <w:t>6</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"_Toc171516469" </w:instrText>
      </w:r>
      <w:r>
        <w:rPr>
          <w:color w:val="auto"/>
        </w:rPr>
        <w:fldChar w:fldCharType="separate"/>
      </w:r>
      <w:r>
        <w:rPr>
          <w:rStyle w:val="10"/>
          <w:color w:val="auto"/>
        </w:rPr>
        <w:t>2.2.2</w:t>
      </w:r>
      <w:r>
        <w:rPr>
          <w:rFonts w:ascii="Calibri" w:hAnsi="Calibri"/>
          <w:color w:val="auto"/>
          <w:sz w:val="21"/>
        </w:rPr>
        <w:tab/>
      </w:r>
      <w:r>
        <w:rPr>
          <w:rStyle w:val="10"/>
          <w:rFonts w:hint="eastAsia"/>
          <w:color w:val="auto"/>
        </w:rPr>
        <w:t>地形地貌</w:t>
      </w:r>
      <w:r>
        <w:rPr>
          <w:color w:val="auto"/>
        </w:rPr>
        <w:tab/>
      </w:r>
      <w:r>
        <w:rPr>
          <w:color w:val="auto"/>
        </w:rPr>
        <w:fldChar w:fldCharType="begin"/>
      </w:r>
      <w:r>
        <w:rPr>
          <w:color w:val="auto"/>
        </w:rPr>
        <w:instrText xml:space="preserve"> PAGEREF _Toc171516469 \h </w:instrText>
      </w:r>
      <w:r>
        <w:rPr>
          <w:color w:val="auto"/>
        </w:rPr>
        <w:fldChar w:fldCharType="separate"/>
      </w:r>
      <w:r>
        <w:rPr>
          <w:color w:val="auto"/>
        </w:rPr>
        <w:t>7</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"_Toc171516470" </w:instrText>
      </w:r>
      <w:r>
        <w:rPr>
          <w:color w:val="auto"/>
        </w:rPr>
        <w:fldChar w:fldCharType="separate"/>
      </w:r>
      <w:r>
        <w:rPr>
          <w:rStyle w:val="10"/>
          <w:color w:val="auto"/>
        </w:rPr>
        <w:t>2.2.3</w:t>
      </w:r>
      <w:r>
        <w:rPr>
          <w:rFonts w:ascii="Calibri" w:hAnsi="Calibri"/>
          <w:color w:val="auto"/>
          <w:sz w:val="21"/>
        </w:rPr>
        <w:tab/>
      </w:r>
      <w:r>
        <w:rPr>
          <w:rStyle w:val="10"/>
          <w:rFonts w:hint="eastAsia"/>
          <w:color w:val="auto"/>
        </w:rPr>
        <w:t>水文特征</w:t>
      </w:r>
      <w:r>
        <w:rPr>
          <w:color w:val="auto"/>
        </w:rPr>
        <w:tab/>
      </w:r>
      <w:r>
        <w:rPr>
          <w:color w:val="auto"/>
        </w:rPr>
        <w:fldChar w:fldCharType="begin"/>
      </w:r>
      <w:r>
        <w:rPr>
          <w:color w:val="auto"/>
        </w:rPr>
        <w:instrText xml:space="preserve"> PAGEREF _Toc171516470 \h </w:instrText>
      </w:r>
      <w:r>
        <w:rPr>
          <w:color w:val="auto"/>
        </w:rPr>
        <w:fldChar w:fldCharType="separate"/>
      </w:r>
      <w:r>
        <w:rPr>
          <w:color w:val="auto"/>
        </w:rPr>
        <w:t>7</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"_Toc171516471" </w:instrText>
      </w:r>
      <w:r>
        <w:rPr>
          <w:color w:val="auto"/>
        </w:rPr>
        <w:fldChar w:fldCharType="separate"/>
      </w:r>
      <w:r>
        <w:rPr>
          <w:rStyle w:val="10"/>
          <w:color w:val="auto"/>
        </w:rPr>
        <w:t>2.2.4</w:t>
      </w:r>
      <w:r>
        <w:rPr>
          <w:rFonts w:ascii="Calibri" w:hAnsi="Calibri"/>
          <w:color w:val="auto"/>
          <w:sz w:val="21"/>
        </w:rPr>
        <w:tab/>
      </w:r>
      <w:r>
        <w:rPr>
          <w:rStyle w:val="10"/>
          <w:rFonts w:hint="eastAsia"/>
          <w:color w:val="auto"/>
        </w:rPr>
        <w:t>自然资源</w:t>
      </w:r>
      <w:r>
        <w:rPr>
          <w:color w:val="auto"/>
        </w:rPr>
        <w:tab/>
      </w:r>
      <w:r>
        <w:rPr>
          <w:color w:val="auto"/>
        </w:rPr>
        <w:fldChar w:fldCharType="begin"/>
      </w:r>
      <w:r>
        <w:rPr>
          <w:color w:val="auto"/>
        </w:rPr>
        <w:instrText xml:space="preserve"> PAGEREF _Toc171516471 \h </w:instrText>
      </w:r>
      <w:r>
        <w:rPr>
          <w:color w:val="auto"/>
        </w:rPr>
        <w:fldChar w:fldCharType="separate"/>
      </w:r>
      <w:r>
        <w:rPr>
          <w:color w:val="auto"/>
        </w:rPr>
        <w:t>8</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"_Toc171516472" </w:instrText>
      </w:r>
      <w:r>
        <w:rPr>
          <w:color w:val="auto"/>
        </w:rPr>
        <w:fldChar w:fldCharType="separate"/>
      </w:r>
      <w:r>
        <w:rPr>
          <w:rStyle w:val="10"/>
          <w:color w:val="auto"/>
        </w:rPr>
        <w:t>2.3</w:t>
      </w:r>
      <w:r>
        <w:rPr>
          <w:rFonts w:ascii="Calibri" w:hAnsi="Calibri"/>
          <w:color w:val="auto"/>
          <w:sz w:val="21"/>
        </w:rPr>
        <w:tab/>
      </w:r>
      <w:r>
        <w:rPr>
          <w:rStyle w:val="10"/>
          <w:rFonts w:hint="eastAsia"/>
          <w:color w:val="auto"/>
        </w:rPr>
        <w:t>社会经济概况</w:t>
      </w:r>
      <w:r>
        <w:rPr>
          <w:color w:val="auto"/>
        </w:rPr>
        <w:tab/>
      </w:r>
      <w:r>
        <w:rPr>
          <w:color w:val="auto"/>
        </w:rPr>
        <w:fldChar w:fldCharType="begin"/>
      </w:r>
      <w:r>
        <w:rPr>
          <w:color w:val="auto"/>
        </w:rPr>
        <w:instrText xml:space="preserve"> PAGEREF _Toc171516472 \h </w:instrText>
      </w:r>
      <w:r>
        <w:rPr>
          <w:color w:val="auto"/>
        </w:rPr>
        <w:fldChar w:fldCharType="separate"/>
      </w:r>
      <w:r>
        <w:rPr>
          <w:color w:val="auto"/>
        </w:rPr>
        <w:t>9</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"_Toc171516473" </w:instrText>
      </w:r>
      <w:r>
        <w:rPr>
          <w:color w:val="auto"/>
        </w:rPr>
        <w:fldChar w:fldCharType="separate"/>
      </w:r>
      <w:r>
        <w:rPr>
          <w:rStyle w:val="10"/>
          <w:color w:val="auto"/>
        </w:rPr>
        <w:t>2.4</w:t>
      </w:r>
      <w:r>
        <w:rPr>
          <w:rFonts w:ascii="Calibri" w:hAnsi="Calibri"/>
          <w:color w:val="auto"/>
          <w:sz w:val="21"/>
        </w:rPr>
        <w:tab/>
      </w:r>
      <w:r>
        <w:rPr>
          <w:rStyle w:val="10"/>
          <w:rFonts w:hint="eastAsia"/>
          <w:color w:val="auto"/>
        </w:rPr>
        <w:t>区域环境状况</w:t>
      </w:r>
      <w:r>
        <w:rPr>
          <w:color w:val="auto"/>
        </w:rPr>
        <w:tab/>
      </w:r>
      <w:r>
        <w:rPr>
          <w:color w:val="auto"/>
        </w:rPr>
        <w:fldChar w:fldCharType="begin"/>
      </w:r>
      <w:r>
        <w:rPr>
          <w:color w:val="auto"/>
        </w:rPr>
        <w:instrText xml:space="preserve"> PAGEREF _Toc171516473 \h </w:instrText>
      </w:r>
      <w:r>
        <w:rPr>
          <w:color w:val="auto"/>
        </w:rPr>
        <w:fldChar w:fldCharType="separate"/>
      </w:r>
      <w:r>
        <w:rPr>
          <w:color w:val="auto"/>
        </w:rPr>
        <w:t>10</w:t>
      </w:r>
      <w:r>
        <w:rPr>
          <w:color w:val="auto"/>
        </w:rPr>
        <w:fldChar w:fldCharType="end"/>
      </w:r>
      <w:r>
        <w:rPr>
          <w:color w:val="auto"/>
        </w:rPr>
        <w:fldChar w:fldCharType="end"/>
      </w:r>
    </w:p>
    <w:p>
      <w:pPr>
        <w:pStyle w:val="7"/>
        <w:rPr>
          <w:rFonts w:ascii="Calibri" w:hAnsi="Calibri"/>
          <w:b w:val="0"/>
          <w:color w:val="auto"/>
          <w:sz w:val="21"/>
        </w:rPr>
      </w:pPr>
      <w:r>
        <w:rPr>
          <w:color w:val="auto"/>
        </w:rPr>
        <w:fldChar w:fldCharType="begin"/>
      </w:r>
      <w:r>
        <w:rPr>
          <w:color w:val="auto"/>
        </w:rPr>
        <w:instrText xml:space="preserve">HYPERLINK  \l "_Toc171516474" </w:instrText>
      </w:r>
      <w:r>
        <w:rPr>
          <w:color w:val="auto"/>
        </w:rPr>
        <w:fldChar w:fldCharType="separate"/>
      </w:r>
      <w:r>
        <w:rPr>
          <w:rStyle w:val="10"/>
          <w:color w:val="auto"/>
        </w:rPr>
        <w:t>3</w:t>
      </w:r>
      <w:r>
        <w:rPr>
          <w:rFonts w:ascii="Calibri" w:hAnsi="Calibri"/>
          <w:b w:val="0"/>
          <w:color w:val="auto"/>
          <w:sz w:val="21"/>
        </w:rPr>
        <w:tab/>
      </w:r>
      <w:r>
        <w:rPr>
          <w:rStyle w:val="10"/>
          <w:rFonts w:hint="eastAsia"/>
          <w:color w:val="auto"/>
        </w:rPr>
        <w:t>原禁养区划定情况回顾分析</w:t>
      </w:r>
      <w:r>
        <w:rPr>
          <w:color w:val="auto"/>
        </w:rPr>
        <w:tab/>
      </w:r>
      <w:r>
        <w:rPr>
          <w:color w:val="auto"/>
        </w:rPr>
        <w:fldChar w:fldCharType="begin"/>
      </w:r>
      <w:r>
        <w:rPr>
          <w:color w:val="auto"/>
        </w:rPr>
        <w:instrText xml:space="preserve"> PAGEREF _Toc171516474 \h </w:instrText>
      </w:r>
      <w:r>
        <w:rPr>
          <w:color w:val="auto"/>
        </w:rPr>
        <w:fldChar w:fldCharType="separate"/>
      </w:r>
      <w:r>
        <w:rPr>
          <w:color w:val="auto"/>
        </w:rPr>
        <w:t>12</w:t>
      </w:r>
      <w:r>
        <w:rPr>
          <w:color w:val="auto"/>
        </w:rPr>
        <w:fldChar w:fldCharType="end"/>
      </w:r>
      <w:r>
        <w:rPr>
          <w:color w:val="auto"/>
        </w:rPr>
        <w:fldChar w:fldCharType="end"/>
      </w:r>
    </w:p>
    <w:p>
      <w:pPr>
        <w:pStyle w:val="7"/>
        <w:rPr>
          <w:rFonts w:ascii="Calibri" w:hAnsi="Calibri"/>
          <w:b w:val="0"/>
          <w:color w:val="auto"/>
          <w:sz w:val="21"/>
        </w:rPr>
      </w:pPr>
      <w:r>
        <w:rPr>
          <w:color w:val="auto"/>
        </w:rPr>
        <w:fldChar w:fldCharType="begin"/>
      </w:r>
      <w:r>
        <w:rPr>
          <w:color w:val="auto"/>
        </w:rPr>
        <w:instrText xml:space="preserve">HYPERLINK  \l "_Toc171516475" </w:instrText>
      </w:r>
      <w:r>
        <w:rPr>
          <w:color w:val="auto"/>
        </w:rPr>
        <w:fldChar w:fldCharType="separate"/>
      </w:r>
      <w:r>
        <w:rPr>
          <w:rStyle w:val="10"/>
          <w:color w:val="auto"/>
        </w:rPr>
        <w:t>4</w:t>
      </w:r>
      <w:r>
        <w:rPr>
          <w:rFonts w:ascii="Calibri" w:hAnsi="Calibri"/>
          <w:b w:val="0"/>
          <w:color w:val="auto"/>
          <w:sz w:val="21"/>
        </w:rPr>
        <w:tab/>
      </w:r>
      <w:r>
        <w:rPr>
          <w:rStyle w:val="10"/>
          <w:rFonts w:hint="eastAsia"/>
          <w:color w:val="auto"/>
        </w:rPr>
        <w:t>畜禽养殖禁养区划定方案调整情况</w:t>
      </w:r>
      <w:r>
        <w:rPr>
          <w:color w:val="auto"/>
        </w:rPr>
        <w:tab/>
      </w:r>
      <w:r>
        <w:rPr>
          <w:color w:val="auto"/>
        </w:rPr>
        <w:fldChar w:fldCharType="begin"/>
      </w:r>
      <w:r>
        <w:rPr>
          <w:color w:val="auto"/>
        </w:rPr>
        <w:instrText xml:space="preserve"> PAGEREF _Toc171516475 \h </w:instrText>
      </w:r>
      <w:r>
        <w:rPr>
          <w:color w:val="auto"/>
        </w:rPr>
        <w:fldChar w:fldCharType="separate"/>
      </w:r>
      <w:r>
        <w:rPr>
          <w:color w:val="auto"/>
        </w:rPr>
        <w:t>14</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"_Toc171516476" </w:instrText>
      </w:r>
      <w:r>
        <w:rPr>
          <w:color w:val="auto"/>
        </w:rPr>
        <w:fldChar w:fldCharType="separate"/>
      </w:r>
      <w:r>
        <w:rPr>
          <w:rStyle w:val="10"/>
          <w:color w:val="auto"/>
        </w:rPr>
        <w:t>4.1</w:t>
      </w:r>
      <w:r>
        <w:rPr>
          <w:rFonts w:ascii="Calibri" w:hAnsi="Calibri"/>
          <w:color w:val="auto"/>
          <w:sz w:val="21"/>
        </w:rPr>
        <w:tab/>
      </w:r>
      <w:r>
        <w:rPr>
          <w:rStyle w:val="10"/>
          <w:rFonts w:hint="eastAsia"/>
          <w:color w:val="auto"/>
        </w:rPr>
        <w:t>划分依据</w:t>
      </w:r>
      <w:r>
        <w:rPr>
          <w:color w:val="auto"/>
        </w:rPr>
        <w:tab/>
      </w:r>
      <w:r>
        <w:rPr>
          <w:color w:val="auto"/>
        </w:rPr>
        <w:fldChar w:fldCharType="begin"/>
      </w:r>
      <w:r>
        <w:rPr>
          <w:color w:val="auto"/>
        </w:rPr>
        <w:instrText xml:space="preserve"> PAGEREF _Toc171516476 \h </w:instrText>
      </w:r>
      <w:r>
        <w:rPr>
          <w:color w:val="auto"/>
        </w:rPr>
        <w:fldChar w:fldCharType="separate"/>
      </w:r>
      <w:r>
        <w:rPr>
          <w:color w:val="auto"/>
        </w:rPr>
        <w:t>14</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"_Toc171516477" </w:instrText>
      </w:r>
      <w:r>
        <w:rPr>
          <w:color w:val="auto"/>
        </w:rPr>
        <w:fldChar w:fldCharType="separate"/>
      </w:r>
      <w:r>
        <w:rPr>
          <w:rStyle w:val="10"/>
          <w:color w:val="auto"/>
        </w:rPr>
        <w:t>4.1.1</w:t>
      </w:r>
      <w:r>
        <w:rPr>
          <w:rFonts w:ascii="Calibri" w:hAnsi="Calibri"/>
          <w:color w:val="auto"/>
          <w:sz w:val="21"/>
        </w:rPr>
        <w:tab/>
      </w:r>
      <w:r>
        <w:rPr>
          <w:rStyle w:val="10"/>
          <w:rFonts w:hint="eastAsia"/>
          <w:color w:val="auto"/>
        </w:rPr>
        <w:t>国家法律法规依据</w:t>
      </w:r>
      <w:r>
        <w:rPr>
          <w:color w:val="auto"/>
        </w:rPr>
        <w:tab/>
      </w:r>
      <w:r>
        <w:rPr>
          <w:color w:val="auto"/>
        </w:rPr>
        <w:fldChar w:fldCharType="begin"/>
      </w:r>
      <w:r>
        <w:rPr>
          <w:color w:val="auto"/>
        </w:rPr>
        <w:instrText xml:space="preserve"> PAGEREF _Toc171516477 \h </w:instrText>
      </w:r>
      <w:r>
        <w:rPr>
          <w:color w:val="auto"/>
        </w:rPr>
        <w:fldChar w:fldCharType="separate"/>
      </w:r>
      <w:r>
        <w:rPr>
          <w:color w:val="auto"/>
        </w:rPr>
        <w:t>14</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"_Toc171516478" </w:instrText>
      </w:r>
      <w:r>
        <w:rPr>
          <w:color w:val="auto"/>
        </w:rPr>
        <w:fldChar w:fldCharType="separate"/>
      </w:r>
      <w:r>
        <w:rPr>
          <w:rStyle w:val="10"/>
          <w:color w:val="auto"/>
        </w:rPr>
        <w:t>4.1.2</w:t>
      </w:r>
      <w:r>
        <w:rPr>
          <w:rFonts w:ascii="Calibri" w:hAnsi="Calibri"/>
          <w:color w:val="auto"/>
          <w:sz w:val="21"/>
        </w:rPr>
        <w:tab/>
      </w:r>
      <w:r>
        <w:rPr>
          <w:rStyle w:val="10"/>
          <w:rFonts w:hint="eastAsia"/>
          <w:color w:val="auto"/>
        </w:rPr>
        <w:t>地方法律法规依据</w:t>
      </w:r>
      <w:r>
        <w:rPr>
          <w:color w:val="auto"/>
        </w:rPr>
        <w:tab/>
      </w:r>
      <w:r>
        <w:rPr>
          <w:color w:val="auto"/>
        </w:rPr>
        <w:fldChar w:fldCharType="begin"/>
      </w:r>
      <w:r>
        <w:rPr>
          <w:color w:val="auto"/>
        </w:rPr>
        <w:instrText xml:space="preserve"> PAGEREF _Toc171516478 \h </w:instrText>
      </w:r>
      <w:r>
        <w:rPr>
          <w:color w:val="auto"/>
        </w:rPr>
        <w:fldChar w:fldCharType="separate"/>
      </w:r>
      <w:r>
        <w:rPr>
          <w:color w:val="auto"/>
        </w:rPr>
        <w:t>14</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"_Toc171516479" </w:instrText>
      </w:r>
      <w:r>
        <w:rPr>
          <w:color w:val="auto"/>
        </w:rPr>
        <w:fldChar w:fldCharType="separate"/>
      </w:r>
      <w:r>
        <w:rPr>
          <w:rStyle w:val="10"/>
          <w:color w:val="auto"/>
        </w:rPr>
        <w:t>4.1.3</w:t>
      </w:r>
      <w:r>
        <w:rPr>
          <w:rFonts w:ascii="Calibri" w:hAnsi="Calibri"/>
          <w:color w:val="auto"/>
          <w:sz w:val="21"/>
        </w:rPr>
        <w:tab/>
      </w:r>
      <w:r>
        <w:rPr>
          <w:rStyle w:val="10"/>
          <w:rFonts w:hint="eastAsia"/>
          <w:color w:val="auto"/>
        </w:rPr>
        <w:t>禁养区划定标准</w:t>
      </w:r>
      <w:r>
        <w:rPr>
          <w:color w:val="auto"/>
        </w:rPr>
        <w:tab/>
      </w:r>
      <w:r>
        <w:rPr>
          <w:color w:val="auto"/>
        </w:rPr>
        <w:fldChar w:fldCharType="begin"/>
      </w:r>
      <w:r>
        <w:rPr>
          <w:color w:val="auto"/>
        </w:rPr>
        <w:instrText xml:space="preserve"> PAGEREF _Toc171516479 \h </w:instrText>
      </w:r>
      <w:r>
        <w:rPr>
          <w:color w:val="auto"/>
        </w:rPr>
        <w:fldChar w:fldCharType="separate"/>
      </w:r>
      <w:r>
        <w:rPr>
          <w:color w:val="auto"/>
        </w:rPr>
        <w:t>14</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"_Toc171516480" </w:instrText>
      </w:r>
      <w:r>
        <w:rPr>
          <w:color w:val="auto"/>
        </w:rPr>
        <w:fldChar w:fldCharType="separate"/>
      </w:r>
      <w:r>
        <w:rPr>
          <w:rStyle w:val="10"/>
          <w:color w:val="auto"/>
        </w:rPr>
        <w:t>4.2</w:t>
      </w:r>
      <w:r>
        <w:rPr>
          <w:rFonts w:ascii="Calibri" w:hAnsi="Calibri"/>
          <w:color w:val="auto"/>
          <w:sz w:val="21"/>
        </w:rPr>
        <w:tab/>
      </w:r>
      <w:r>
        <w:rPr>
          <w:rStyle w:val="10"/>
          <w:rFonts w:hint="eastAsia"/>
          <w:color w:val="auto"/>
        </w:rPr>
        <w:t>畜禽养殖禁养区划定范围</w:t>
      </w:r>
      <w:r>
        <w:rPr>
          <w:color w:val="auto"/>
        </w:rPr>
        <w:tab/>
      </w:r>
      <w:r>
        <w:rPr>
          <w:color w:val="auto"/>
        </w:rPr>
        <w:fldChar w:fldCharType="begin"/>
      </w:r>
      <w:r>
        <w:rPr>
          <w:color w:val="auto"/>
        </w:rPr>
        <w:instrText xml:space="preserve"> PAGEREF _Toc171516480 \h </w:instrText>
      </w:r>
      <w:r>
        <w:rPr>
          <w:color w:val="auto"/>
        </w:rPr>
        <w:fldChar w:fldCharType="separate"/>
      </w:r>
      <w:r>
        <w:rPr>
          <w:color w:val="auto"/>
        </w:rPr>
        <w:t>15</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"_Toc171516481" </w:instrText>
      </w:r>
      <w:r>
        <w:rPr>
          <w:color w:val="auto"/>
        </w:rPr>
        <w:fldChar w:fldCharType="separate"/>
      </w:r>
      <w:r>
        <w:rPr>
          <w:rStyle w:val="10"/>
          <w:color w:val="auto"/>
        </w:rPr>
        <w:t>4.2.1</w:t>
      </w:r>
      <w:r>
        <w:rPr>
          <w:rFonts w:ascii="Calibri" w:hAnsi="Calibri"/>
          <w:color w:val="auto"/>
          <w:sz w:val="21"/>
        </w:rPr>
        <w:tab/>
      </w:r>
      <w:r>
        <w:rPr>
          <w:rStyle w:val="10"/>
          <w:rFonts w:hint="eastAsia"/>
          <w:color w:val="auto"/>
        </w:rPr>
        <w:t>饮用水水源保护区</w:t>
      </w:r>
      <w:r>
        <w:rPr>
          <w:color w:val="auto"/>
        </w:rPr>
        <w:tab/>
      </w:r>
      <w:r>
        <w:rPr>
          <w:color w:val="auto"/>
        </w:rPr>
        <w:fldChar w:fldCharType="begin"/>
      </w:r>
      <w:r>
        <w:rPr>
          <w:color w:val="auto"/>
        </w:rPr>
        <w:instrText xml:space="preserve"> PAGEREF _Toc171516481 \h </w:instrText>
      </w:r>
      <w:r>
        <w:rPr>
          <w:color w:val="auto"/>
        </w:rPr>
        <w:fldChar w:fldCharType="separate"/>
      </w:r>
      <w:r>
        <w:rPr>
          <w:color w:val="auto"/>
        </w:rPr>
        <w:t>15</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"_Toc171516482" </w:instrText>
      </w:r>
      <w:r>
        <w:rPr>
          <w:color w:val="auto"/>
        </w:rPr>
        <w:fldChar w:fldCharType="separate"/>
      </w:r>
      <w:r>
        <w:rPr>
          <w:rStyle w:val="10"/>
          <w:color w:val="auto"/>
        </w:rPr>
        <w:t>4.2.2</w:t>
      </w:r>
      <w:r>
        <w:rPr>
          <w:rFonts w:ascii="Calibri" w:hAnsi="Calibri"/>
          <w:color w:val="auto"/>
          <w:sz w:val="21"/>
        </w:rPr>
        <w:tab/>
      </w:r>
      <w:r>
        <w:rPr>
          <w:rStyle w:val="10"/>
          <w:rFonts w:hint="eastAsia"/>
          <w:color w:val="auto"/>
        </w:rPr>
        <w:t>自然保护区</w:t>
      </w:r>
      <w:r>
        <w:rPr>
          <w:color w:val="auto"/>
        </w:rPr>
        <w:tab/>
      </w:r>
      <w:r>
        <w:rPr>
          <w:color w:val="auto"/>
        </w:rPr>
        <w:fldChar w:fldCharType="begin"/>
      </w:r>
      <w:r>
        <w:rPr>
          <w:color w:val="auto"/>
        </w:rPr>
        <w:instrText xml:space="preserve"> PAGEREF _Toc171516482 \h </w:instrText>
      </w:r>
      <w:r>
        <w:rPr>
          <w:color w:val="auto"/>
        </w:rPr>
        <w:fldChar w:fldCharType="separate"/>
      </w:r>
      <w:r>
        <w:rPr>
          <w:color w:val="auto"/>
        </w:rPr>
        <w:t>16</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"_Toc171516483" </w:instrText>
      </w:r>
      <w:r>
        <w:rPr>
          <w:color w:val="auto"/>
        </w:rPr>
        <w:fldChar w:fldCharType="separate"/>
      </w:r>
      <w:r>
        <w:rPr>
          <w:rStyle w:val="10"/>
          <w:color w:val="auto"/>
        </w:rPr>
        <w:t>4.2.3</w:t>
      </w:r>
      <w:r>
        <w:rPr>
          <w:rFonts w:ascii="Calibri" w:hAnsi="Calibri"/>
          <w:color w:val="auto"/>
          <w:sz w:val="21"/>
        </w:rPr>
        <w:tab/>
      </w:r>
      <w:r>
        <w:rPr>
          <w:rStyle w:val="10"/>
          <w:rFonts w:hint="eastAsia"/>
          <w:color w:val="auto"/>
        </w:rPr>
        <w:t>风景名胜区</w:t>
      </w:r>
      <w:r>
        <w:rPr>
          <w:color w:val="auto"/>
        </w:rPr>
        <w:tab/>
      </w:r>
      <w:r>
        <w:rPr>
          <w:color w:val="auto"/>
        </w:rPr>
        <w:fldChar w:fldCharType="begin"/>
      </w:r>
      <w:r>
        <w:rPr>
          <w:color w:val="auto"/>
        </w:rPr>
        <w:instrText xml:space="preserve"> PAGEREF _Toc171516483 \h </w:instrText>
      </w:r>
      <w:r>
        <w:rPr>
          <w:color w:val="auto"/>
        </w:rPr>
        <w:fldChar w:fldCharType="separate"/>
      </w:r>
      <w:r>
        <w:rPr>
          <w:color w:val="auto"/>
        </w:rPr>
        <w:t>17</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"_Toc171516484" </w:instrText>
      </w:r>
      <w:r>
        <w:rPr>
          <w:color w:val="auto"/>
        </w:rPr>
        <w:fldChar w:fldCharType="separate"/>
      </w:r>
      <w:r>
        <w:rPr>
          <w:rStyle w:val="10"/>
          <w:color w:val="auto"/>
        </w:rPr>
        <w:t>4.2.4</w:t>
      </w:r>
      <w:r>
        <w:rPr>
          <w:rFonts w:ascii="Calibri" w:hAnsi="Calibri"/>
          <w:color w:val="auto"/>
          <w:sz w:val="21"/>
        </w:rPr>
        <w:tab/>
      </w:r>
      <w:r>
        <w:rPr>
          <w:rStyle w:val="10"/>
          <w:rFonts w:hint="eastAsia"/>
          <w:color w:val="auto"/>
        </w:rPr>
        <w:t>城镇居民区和文化教育科学研究区</w:t>
      </w:r>
      <w:r>
        <w:rPr>
          <w:color w:val="auto"/>
        </w:rPr>
        <w:tab/>
      </w:r>
      <w:r>
        <w:rPr>
          <w:color w:val="auto"/>
        </w:rPr>
        <w:fldChar w:fldCharType="begin"/>
      </w:r>
      <w:r>
        <w:rPr>
          <w:color w:val="auto"/>
        </w:rPr>
        <w:instrText xml:space="preserve"> PAGEREF _Toc171516484 \h </w:instrText>
      </w:r>
      <w:r>
        <w:rPr>
          <w:color w:val="auto"/>
        </w:rPr>
        <w:fldChar w:fldCharType="separate"/>
      </w:r>
      <w:r>
        <w:rPr>
          <w:color w:val="auto"/>
        </w:rPr>
        <w:t>17</w:t>
      </w:r>
      <w:r>
        <w:rPr>
          <w:color w:val="auto"/>
        </w:rPr>
        <w:fldChar w:fldCharType="end"/>
      </w:r>
      <w:r>
        <w:rPr>
          <w:color w:val="auto"/>
        </w:rPr>
        <w:fldChar w:fldCharType="end"/>
      </w:r>
    </w:p>
    <w:p>
      <w:pPr>
        <w:pStyle w:val="3"/>
        <w:rPr>
          <w:rFonts w:ascii="Calibri" w:hAnsi="Calibri"/>
          <w:color w:val="auto"/>
          <w:sz w:val="21"/>
        </w:rPr>
      </w:pPr>
      <w:r>
        <w:rPr>
          <w:color w:val="auto"/>
        </w:rPr>
        <w:fldChar w:fldCharType="begin"/>
      </w:r>
      <w:r>
        <w:rPr>
          <w:color w:val="auto"/>
        </w:rPr>
        <w:instrText xml:space="preserve">HYPERLINK  \l "_Toc171516485" </w:instrText>
      </w:r>
      <w:r>
        <w:rPr>
          <w:color w:val="auto"/>
        </w:rPr>
        <w:fldChar w:fldCharType="separate"/>
      </w:r>
      <w:r>
        <w:rPr>
          <w:rStyle w:val="10"/>
          <w:color w:val="auto"/>
        </w:rPr>
        <w:t>4.2.5</w:t>
      </w:r>
      <w:r>
        <w:rPr>
          <w:rFonts w:ascii="Calibri" w:hAnsi="Calibri"/>
          <w:color w:val="auto"/>
          <w:sz w:val="21"/>
        </w:rPr>
        <w:tab/>
      </w:r>
      <w:r>
        <w:rPr>
          <w:rStyle w:val="10"/>
          <w:rFonts w:hint="eastAsia"/>
          <w:color w:val="auto"/>
        </w:rPr>
        <w:t>划定结果</w:t>
      </w:r>
      <w:r>
        <w:rPr>
          <w:color w:val="auto"/>
        </w:rPr>
        <w:tab/>
      </w:r>
      <w:r>
        <w:rPr>
          <w:color w:val="auto"/>
        </w:rPr>
        <w:fldChar w:fldCharType="begin"/>
      </w:r>
      <w:r>
        <w:rPr>
          <w:color w:val="auto"/>
        </w:rPr>
        <w:instrText xml:space="preserve"> PAGEREF _Toc171516485 \h </w:instrText>
      </w:r>
      <w:r>
        <w:rPr>
          <w:color w:val="auto"/>
        </w:rPr>
        <w:fldChar w:fldCharType="separate"/>
      </w:r>
      <w:r>
        <w:rPr>
          <w:color w:val="auto"/>
        </w:rPr>
        <w:t>17</w:t>
      </w:r>
      <w:r>
        <w:rPr>
          <w:color w:val="auto"/>
        </w:rPr>
        <w:fldChar w:fldCharType="end"/>
      </w:r>
      <w:r>
        <w:rPr>
          <w:color w:val="auto"/>
        </w:rPr>
        <w:fldChar w:fldCharType="end"/>
      </w:r>
    </w:p>
    <w:p>
      <w:pPr>
        <w:pStyle w:val="7"/>
        <w:rPr>
          <w:rFonts w:ascii="Calibri" w:hAnsi="Calibri"/>
          <w:b w:val="0"/>
          <w:color w:val="auto"/>
          <w:sz w:val="21"/>
        </w:rPr>
      </w:pPr>
      <w:r>
        <w:rPr>
          <w:color w:val="auto"/>
        </w:rPr>
        <w:fldChar w:fldCharType="begin"/>
      </w:r>
      <w:r>
        <w:rPr>
          <w:color w:val="auto"/>
        </w:rPr>
        <w:instrText xml:space="preserve">HYPERLINK  \l "_Toc171516486" </w:instrText>
      </w:r>
      <w:r>
        <w:rPr>
          <w:color w:val="auto"/>
        </w:rPr>
        <w:fldChar w:fldCharType="separate"/>
      </w:r>
      <w:r>
        <w:rPr>
          <w:rStyle w:val="10"/>
          <w:color w:val="auto"/>
        </w:rPr>
        <w:t>5</w:t>
      </w:r>
      <w:r>
        <w:rPr>
          <w:rFonts w:ascii="Calibri" w:hAnsi="Calibri"/>
          <w:b w:val="0"/>
          <w:color w:val="auto"/>
          <w:sz w:val="21"/>
        </w:rPr>
        <w:tab/>
      </w:r>
      <w:r>
        <w:rPr>
          <w:rStyle w:val="10"/>
          <w:rFonts w:hint="eastAsia"/>
          <w:color w:val="auto"/>
        </w:rPr>
        <w:t>管理要求</w:t>
      </w:r>
      <w:r>
        <w:rPr>
          <w:color w:val="auto"/>
        </w:rPr>
        <w:tab/>
      </w:r>
      <w:r>
        <w:rPr>
          <w:color w:val="auto"/>
        </w:rPr>
        <w:fldChar w:fldCharType="begin"/>
      </w:r>
      <w:r>
        <w:rPr>
          <w:color w:val="auto"/>
        </w:rPr>
        <w:instrText xml:space="preserve"> PAGEREF _Toc171516486 \h </w:instrText>
      </w:r>
      <w:r>
        <w:rPr>
          <w:color w:val="auto"/>
        </w:rPr>
        <w:fldChar w:fldCharType="separate"/>
      </w:r>
      <w:r>
        <w:rPr>
          <w:color w:val="auto"/>
        </w:rPr>
        <w:t>18</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"_Toc171516487" </w:instrText>
      </w:r>
      <w:r>
        <w:rPr>
          <w:color w:val="auto"/>
        </w:rPr>
        <w:fldChar w:fldCharType="separate"/>
      </w:r>
      <w:r>
        <w:rPr>
          <w:rStyle w:val="10"/>
          <w:color w:val="auto"/>
        </w:rPr>
        <w:t>5.1</w:t>
      </w:r>
      <w:r>
        <w:rPr>
          <w:rFonts w:ascii="Calibri" w:hAnsi="Calibri"/>
          <w:color w:val="auto"/>
          <w:sz w:val="21"/>
        </w:rPr>
        <w:tab/>
      </w:r>
      <w:r>
        <w:rPr>
          <w:rStyle w:val="10"/>
          <w:rFonts w:hint="eastAsia"/>
          <w:color w:val="auto"/>
        </w:rPr>
        <w:t>禁养区管理要求</w:t>
      </w:r>
      <w:r>
        <w:rPr>
          <w:color w:val="auto"/>
        </w:rPr>
        <w:tab/>
      </w:r>
      <w:r>
        <w:rPr>
          <w:color w:val="auto"/>
        </w:rPr>
        <w:fldChar w:fldCharType="begin"/>
      </w:r>
      <w:r>
        <w:rPr>
          <w:color w:val="auto"/>
        </w:rPr>
        <w:instrText xml:space="preserve"> PAGEREF _Toc171516487 \h </w:instrText>
      </w:r>
      <w:r>
        <w:rPr>
          <w:color w:val="auto"/>
        </w:rPr>
        <w:fldChar w:fldCharType="separate"/>
      </w:r>
      <w:r>
        <w:rPr>
          <w:color w:val="auto"/>
        </w:rPr>
        <w:t>18</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"_Toc171516488" </w:instrText>
      </w:r>
      <w:r>
        <w:rPr>
          <w:color w:val="auto"/>
        </w:rPr>
        <w:fldChar w:fldCharType="separate"/>
      </w:r>
      <w:r>
        <w:rPr>
          <w:rStyle w:val="10"/>
          <w:color w:val="auto"/>
        </w:rPr>
        <w:t>5.2</w:t>
      </w:r>
      <w:r>
        <w:rPr>
          <w:rFonts w:ascii="Calibri" w:hAnsi="Calibri"/>
          <w:color w:val="auto"/>
          <w:sz w:val="21"/>
        </w:rPr>
        <w:tab/>
      </w:r>
      <w:r>
        <w:rPr>
          <w:rStyle w:val="10"/>
          <w:rFonts w:hint="eastAsia"/>
          <w:color w:val="auto"/>
        </w:rPr>
        <w:t>非禁养区管理要求</w:t>
      </w:r>
      <w:r>
        <w:rPr>
          <w:color w:val="auto"/>
        </w:rPr>
        <w:tab/>
      </w:r>
      <w:r>
        <w:rPr>
          <w:color w:val="auto"/>
        </w:rPr>
        <w:fldChar w:fldCharType="begin"/>
      </w:r>
      <w:r>
        <w:rPr>
          <w:color w:val="auto"/>
        </w:rPr>
        <w:instrText xml:space="preserve"> PAGEREF _Toc171516488 \h </w:instrText>
      </w:r>
      <w:r>
        <w:rPr>
          <w:color w:val="auto"/>
        </w:rPr>
        <w:fldChar w:fldCharType="separate"/>
      </w:r>
      <w:r>
        <w:rPr>
          <w:color w:val="auto"/>
        </w:rPr>
        <w:t>18</w:t>
      </w:r>
      <w:r>
        <w:rPr>
          <w:color w:val="auto"/>
        </w:rPr>
        <w:fldChar w:fldCharType="end"/>
      </w:r>
      <w:r>
        <w:rPr>
          <w:color w:val="auto"/>
        </w:rPr>
        <w:fldChar w:fldCharType="end"/>
      </w:r>
    </w:p>
    <w:p>
      <w:pPr>
        <w:pStyle w:val="7"/>
        <w:rPr>
          <w:rFonts w:ascii="Calibri" w:hAnsi="Calibri"/>
          <w:b w:val="0"/>
          <w:color w:val="auto"/>
          <w:sz w:val="21"/>
        </w:rPr>
      </w:pPr>
      <w:r>
        <w:rPr>
          <w:color w:val="auto"/>
        </w:rPr>
        <w:fldChar w:fldCharType="begin"/>
      </w:r>
      <w:r>
        <w:rPr>
          <w:color w:val="auto"/>
        </w:rPr>
        <w:instrText xml:space="preserve">HYPERLINK  \l "_Toc171516489" </w:instrText>
      </w:r>
      <w:r>
        <w:rPr>
          <w:color w:val="auto"/>
        </w:rPr>
        <w:fldChar w:fldCharType="separate"/>
      </w:r>
      <w:r>
        <w:rPr>
          <w:rStyle w:val="10"/>
          <w:color w:val="auto"/>
        </w:rPr>
        <w:t>6</w:t>
      </w:r>
      <w:r>
        <w:rPr>
          <w:rFonts w:ascii="Calibri" w:hAnsi="Calibri"/>
          <w:b w:val="0"/>
          <w:color w:val="auto"/>
          <w:sz w:val="21"/>
        </w:rPr>
        <w:tab/>
      </w:r>
      <w:r>
        <w:rPr>
          <w:rStyle w:val="10"/>
          <w:rFonts w:hint="eastAsia"/>
          <w:color w:val="auto"/>
        </w:rPr>
        <w:t>保障措施</w:t>
      </w:r>
      <w:r>
        <w:rPr>
          <w:color w:val="auto"/>
        </w:rPr>
        <w:tab/>
      </w:r>
      <w:r>
        <w:rPr>
          <w:color w:val="auto"/>
        </w:rPr>
        <w:fldChar w:fldCharType="begin"/>
      </w:r>
      <w:r>
        <w:rPr>
          <w:color w:val="auto"/>
        </w:rPr>
        <w:instrText xml:space="preserve"> PAGEREF _Toc171516489 \h </w:instrText>
      </w:r>
      <w:r>
        <w:rPr>
          <w:color w:val="auto"/>
        </w:rPr>
        <w:fldChar w:fldCharType="separate"/>
      </w:r>
      <w:r>
        <w:rPr>
          <w:color w:val="auto"/>
        </w:rPr>
        <w:t>20</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"_Toc171516490" </w:instrText>
      </w:r>
      <w:r>
        <w:rPr>
          <w:color w:val="auto"/>
        </w:rPr>
        <w:fldChar w:fldCharType="separate"/>
      </w:r>
      <w:r>
        <w:rPr>
          <w:rStyle w:val="10"/>
          <w:color w:val="auto"/>
        </w:rPr>
        <w:t>6.1</w:t>
      </w:r>
      <w:r>
        <w:rPr>
          <w:rFonts w:ascii="Calibri" w:hAnsi="Calibri"/>
          <w:color w:val="auto"/>
          <w:sz w:val="21"/>
        </w:rPr>
        <w:tab/>
      </w:r>
      <w:r>
        <w:rPr>
          <w:rStyle w:val="10"/>
          <w:rFonts w:hint="eastAsia"/>
          <w:color w:val="auto"/>
        </w:rPr>
        <w:t>加强组织领导</w:t>
      </w:r>
      <w:r>
        <w:rPr>
          <w:color w:val="auto"/>
        </w:rPr>
        <w:tab/>
      </w:r>
      <w:r>
        <w:rPr>
          <w:color w:val="auto"/>
        </w:rPr>
        <w:fldChar w:fldCharType="begin"/>
      </w:r>
      <w:r>
        <w:rPr>
          <w:color w:val="auto"/>
        </w:rPr>
        <w:instrText xml:space="preserve"> PAGEREF _Toc171516490 \h </w:instrText>
      </w:r>
      <w:r>
        <w:rPr>
          <w:color w:val="auto"/>
        </w:rPr>
        <w:fldChar w:fldCharType="separate"/>
      </w:r>
      <w:r>
        <w:rPr>
          <w:color w:val="auto"/>
        </w:rPr>
        <w:t>20</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"_Toc171516491" </w:instrText>
      </w:r>
      <w:r>
        <w:rPr>
          <w:color w:val="auto"/>
        </w:rPr>
        <w:fldChar w:fldCharType="separate"/>
      </w:r>
      <w:r>
        <w:rPr>
          <w:rStyle w:val="10"/>
          <w:color w:val="auto"/>
        </w:rPr>
        <w:t>6.2</w:t>
      </w:r>
      <w:r>
        <w:rPr>
          <w:rFonts w:ascii="Calibri" w:hAnsi="Calibri"/>
          <w:color w:val="auto"/>
          <w:sz w:val="21"/>
        </w:rPr>
        <w:tab/>
      </w:r>
      <w:r>
        <w:rPr>
          <w:rStyle w:val="10"/>
          <w:rFonts w:hint="eastAsia"/>
          <w:color w:val="auto"/>
        </w:rPr>
        <w:t>强化监督管理</w:t>
      </w:r>
      <w:r>
        <w:rPr>
          <w:color w:val="auto"/>
        </w:rPr>
        <w:tab/>
      </w:r>
      <w:r>
        <w:rPr>
          <w:color w:val="auto"/>
        </w:rPr>
        <w:fldChar w:fldCharType="begin"/>
      </w:r>
      <w:r>
        <w:rPr>
          <w:color w:val="auto"/>
        </w:rPr>
        <w:instrText xml:space="preserve"> PAGEREF _Toc171516491 \h </w:instrText>
      </w:r>
      <w:r>
        <w:rPr>
          <w:color w:val="auto"/>
        </w:rPr>
        <w:fldChar w:fldCharType="separate"/>
      </w:r>
      <w:r>
        <w:rPr>
          <w:color w:val="auto"/>
        </w:rPr>
        <w:t>20</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"_Toc171516492" </w:instrText>
      </w:r>
      <w:r>
        <w:rPr>
          <w:color w:val="auto"/>
        </w:rPr>
        <w:fldChar w:fldCharType="separate"/>
      </w:r>
      <w:r>
        <w:rPr>
          <w:rStyle w:val="10"/>
          <w:color w:val="auto"/>
        </w:rPr>
        <w:t>6.3</w:t>
      </w:r>
      <w:r>
        <w:rPr>
          <w:rFonts w:ascii="Calibri" w:hAnsi="Calibri"/>
          <w:color w:val="auto"/>
          <w:sz w:val="21"/>
        </w:rPr>
        <w:tab/>
      </w:r>
      <w:r>
        <w:rPr>
          <w:rStyle w:val="10"/>
          <w:rFonts w:hint="eastAsia"/>
          <w:color w:val="auto"/>
        </w:rPr>
        <w:t>完善政策扶持</w:t>
      </w:r>
      <w:r>
        <w:rPr>
          <w:color w:val="auto"/>
        </w:rPr>
        <w:tab/>
      </w:r>
      <w:r>
        <w:rPr>
          <w:color w:val="auto"/>
        </w:rPr>
        <w:fldChar w:fldCharType="begin"/>
      </w:r>
      <w:r>
        <w:rPr>
          <w:color w:val="auto"/>
        </w:rPr>
        <w:instrText xml:space="preserve"> PAGEREF _Toc171516492 \h </w:instrText>
      </w:r>
      <w:r>
        <w:rPr>
          <w:color w:val="auto"/>
        </w:rPr>
        <w:fldChar w:fldCharType="separate"/>
      </w:r>
      <w:r>
        <w:rPr>
          <w:color w:val="auto"/>
        </w:rPr>
        <w:t>21</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"_Toc171516493" </w:instrText>
      </w:r>
      <w:r>
        <w:rPr>
          <w:color w:val="auto"/>
        </w:rPr>
        <w:fldChar w:fldCharType="separate"/>
      </w:r>
      <w:r>
        <w:rPr>
          <w:rStyle w:val="10"/>
          <w:color w:val="auto"/>
        </w:rPr>
        <w:t>6.4</w:t>
      </w:r>
      <w:r>
        <w:rPr>
          <w:rFonts w:ascii="Calibri" w:hAnsi="Calibri"/>
          <w:color w:val="auto"/>
          <w:sz w:val="21"/>
        </w:rPr>
        <w:tab/>
      </w:r>
      <w:r>
        <w:rPr>
          <w:rStyle w:val="10"/>
          <w:rFonts w:hint="eastAsia"/>
          <w:color w:val="auto"/>
        </w:rPr>
        <w:t>加大宣传教育</w:t>
      </w:r>
      <w:r>
        <w:rPr>
          <w:color w:val="auto"/>
        </w:rPr>
        <w:tab/>
      </w:r>
      <w:r>
        <w:rPr>
          <w:color w:val="auto"/>
        </w:rPr>
        <w:fldChar w:fldCharType="begin"/>
      </w:r>
      <w:r>
        <w:rPr>
          <w:color w:val="auto"/>
        </w:rPr>
        <w:instrText xml:space="preserve"> PAGEREF _Toc171516493 \h </w:instrText>
      </w:r>
      <w:r>
        <w:rPr>
          <w:color w:val="auto"/>
        </w:rPr>
        <w:fldChar w:fldCharType="separate"/>
      </w:r>
      <w:r>
        <w:rPr>
          <w:color w:val="auto"/>
        </w:rPr>
        <w:t>21</w:t>
      </w:r>
      <w:r>
        <w:rPr>
          <w:color w:val="auto"/>
        </w:rPr>
        <w:fldChar w:fldCharType="end"/>
      </w:r>
      <w:r>
        <w:rPr>
          <w:color w:val="auto"/>
        </w:rPr>
        <w:fldChar w:fldCharType="end"/>
      </w:r>
    </w:p>
    <w:p>
      <w:pPr>
        <w:pStyle w:val="8"/>
        <w:tabs>
          <w:tab w:val="left" w:pos="1680"/>
          <w:tab w:val="right" w:leader="dot" w:pos="9060"/>
        </w:tabs>
        <w:ind w:left="480" w:firstLine="480"/>
        <w:rPr>
          <w:rFonts w:ascii="Calibri" w:hAnsi="Calibri"/>
          <w:color w:val="auto"/>
          <w:sz w:val="21"/>
        </w:rPr>
      </w:pPr>
      <w:r>
        <w:rPr>
          <w:color w:val="auto"/>
        </w:rPr>
        <w:fldChar w:fldCharType="begin"/>
      </w:r>
      <w:r>
        <w:rPr>
          <w:color w:val="auto"/>
        </w:rPr>
        <w:instrText xml:space="preserve">HYPERLINK  \l "_Toc171516494" </w:instrText>
      </w:r>
      <w:r>
        <w:rPr>
          <w:color w:val="auto"/>
        </w:rPr>
        <w:fldChar w:fldCharType="separate"/>
      </w:r>
      <w:r>
        <w:rPr>
          <w:rStyle w:val="10"/>
          <w:color w:val="auto"/>
        </w:rPr>
        <w:t>6.5</w:t>
      </w:r>
      <w:r>
        <w:rPr>
          <w:rFonts w:ascii="Calibri" w:hAnsi="Calibri"/>
          <w:color w:val="auto"/>
          <w:sz w:val="21"/>
        </w:rPr>
        <w:tab/>
      </w:r>
      <w:r>
        <w:rPr>
          <w:rStyle w:val="10"/>
          <w:rFonts w:hint="eastAsia"/>
          <w:color w:val="auto"/>
        </w:rPr>
        <w:t>加强技术指导</w:t>
      </w:r>
      <w:r>
        <w:rPr>
          <w:color w:val="auto"/>
        </w:rPr>
        <w:tab/>
      </w:r>
      <w:r>
        <w:rPr>
          <w:color w:val="auto"/>
        </w:rPr>
        <w:fldChar w:fldCharType="begin"/>
      </w:r>
      <w:r>
        <w:rPr>
          <w:color w:val="auto"/>
        </w:rPr>
        <w:instrText xml:space="preserve"> PAGEREF _Toc171516494 \h </w:instrText>
      </w:r>
      <w:r>
        <w:rPr>
          <w:color w:val="auto"/>
        </w:rPr>
        <w:fldChar w:fldCharType="separate"/>
      </w:r>
      <w:r>
        <w:rPr>
          <w:color w:val="auto"/>
        </w:rPr>
        <w:t>22</w:t>
      </w:r>
      <w:r>
        <w:rPr>
          <w:color w:val="auto"/>
        </w:rPr>
        <w:fldChar w:fldCharType="end"/>
      </w:r>
      <w:r>
        <w:rPr>
          <w:color w:val="auto"/>
        </w:rPr>
        <w:fldChar w:fldCharType="end"/>
      </w:r>
    </w:p>
    <w:p>
      <w:pPr>
        <w:ind w:firstLine="0" w:firstLineChars="0"/>
        <w:rPr>
          <w:color w:val="auto"/>
        </w:rPr>
      </w:pPr>
      <w:r>
        <w:rPr>
          <w:b/>
          <w:bCs/>
          <w:color w:val="auto"/>
          <w:lang w:val="zh-CN"/>
        </w:rPr>
        <w:fldChar w:fldCharType="end"/>
      </w:r>
    </w:p>
    <w:p>
      <w:pPr>
        <w:ind w:firstLine="480"/>
        <w:rPr>
          <w:color w:val="auto"/>
        </w:rPr>
      </w:pPr>
    </w:p>
    <w:p>
      <w:pPr>
        <w:ind w:firstLine="480"/>
        <w:rPr>
          <w:color w:val="auto"/>
        </w:rPr>
        <w:sectPr>
          <w:pgSz w:w="11906" w:h="16838"/>
          <w:pgMar w:top="1418" w:right="1418" w:bottom="1418" w:left="1418" w:header="851" w:footer="992" w:gutter="0"/>
          <w:cols w:space="425" w:num="1"/>
          <w:docGrid w:type="lines" w:linePitch="326" w:charSpace="0"/>
        </w:sectPr>
      </w:pPr>
    </w:p>
    <w:p>
      <w:pPr>
        <w:pStyle w:val="13"/>
        <w:spacing w:before="163" w:after="163"/>
        <w:rPr>
          <w:color w:val="auto"/>
        </w:rPr>
      </w:pPr>
      <w:bookmarkStart w:id="1" w:name="_Toc171516459"/>
      <w:r>
        <w:rPr>
          <w:color w:val="auto"/>
        </w:rPr>
        <w:t>总则</w:t>
      </w:r>
      <w:bookmarkEnd w:id="0"/>
      <w:bookmarkEnd w:id="1"/>
    </w:p>
    <w:p>
      <w:pPr>
        <w:pStyle w:val="14"/>
        <w:spacing w:before="163" w:after="163"/>
        <w:rPr>
          <w:color w:val="auto"/>
        </w:rPr>
      </w:pPr>
      <w:bookmarkStart w:id="2" w:name="_Toc171516460"/>
      <w:r>
        <w:rPr>
          <w:color w:val="auto"/>
        </w:rPr>
        <w:t>编制背景</w:t>
      </w:r>
      <w:bookmarkEnd w:id="2"/>
    </w:p>
    <w:p>
      <w:pPr>
        <w:ind w:firstLine="480"/>
        <w:rPr>
          <w:color w:val="auto"/>
        </w:rPr>
      </w:pPr>
      <w:r>
        <w:rPr>
          <w:rFonts w:hint="eastAsia"/>
          <w:color w:val="auto"/>
        </w:rPr>
        <w:t>生态环境部和农业农村部于2019年9月4日联合发布了《关于进一步规范畜禽养殖禁养区划定和管理促进生猪生产发展的通知》（环办土壤﹝2019﹞55号）特急文件，国务院于2019年9月10日发布了《国务院办公厅关于稳定生猪生产促进转型升级的意见》（国办发﹝2019﹞44号），文件均指出要严格依法依规科学划定禁养区，除饮用水水源保护区、风景名胜区、自然保护区的核心区和缓冲区、城镇居民区、文化教育科学研究区等人口集中区域以及法律法规规定的其他禁止养殖区域之外，不得超范围划定禁养区。</w:t>
      </w:r>
    </w:p>
    <w:p>
      <w:pPr>
        <w:ind w:firstLine="480"/>
        <w:rPr>
          <w:color w:val="auto"/>
        </w:rPr>
      </w:pPr>
      <w:r>
        <w:rPr>
          <w:rFonts w:hint="eastAsia"/>
          <w:color w:val="auto"/>
        </w:rPr>
        <w:t>由于现行的湛江市现定畜禽养殖禁养区区划为2013年制定，时间已较久，且湛江经济技术开发区内自然保护区、饮用水水源保护区等范围近年来有调整，为深入贯彻习近平总书记重要指示精神，按照《国务院办公厅关于稳定生猪生产促进转型升级的意见》和生态环境部、农业农村部《关于进一步规范畜禽养殖禁养区划定和管理促进生猪发展的通知》（环办土壤﹝2019﹞55号）要求，结合《广东省生态环境厅 广东省农业农村厅广东省自然资源厅关于做好畜禽养殖禁养区矢量化边界图制定工作的通知》（粤环函﹝2020﹞237号）等相关要求，依据《中华人民共和国水污染防治法》、《中华人民共和国环境保护法》、《畜禽规模养殖污染防治条例》等法律法规和《畜禽养殖禁养区划定技术指南》以及湛江市、湛江经济技术开发区相关规划与管理文件，结合湛江经济技术开发区实际情况，更好地与相关管理文件要求相衔接，对禁养区划分进行优化调整是非常必要的，因此，湛江经济技术开发区（以下简称经开区）启动畜禽养殖禁养区（以下简称禁养区）划定调整方案工作。</w:t>
      </w:r>
    </w:p>
    <w:p>
      <w:pPr>
        <w:pStyle w:val="14"/>
        <w:spacing w:before="163" w:after="163"/>
        <w:rPr>
          <w:color w:val="auto"/>
        </w:rPr>
      </w:pPr>
      <w:bookmarkStart w:id="3" w:name="_Toc171516461"/>
      <w:r>
        <w:rPr>
          <w:color w:val="auto"/>
        </w:rPr>
        <w:t>指导思想</w:t>
      </w:r>
      <w:bookmarkEnd w:id="3"/>
    </w:p>
    <w:p>
      <w:pPr>
        <w:ind w:firstLine="480"/>
        <w:rPr>
          <w:color w:val="auto"/>
          <w:lang w:val="zh-CN"/>
        </w:rPr>
      </w:pPr>
      <w:r>
        <w:rPr>
          <w:rFonts w:hint="eastAsia"/>
          <w:color w:val="auto"/>
          <w:lang w:val="zh-CN"/>
        </w:rPr>
        <w:t>深入贯彻习近平新时代中国特色社会主义思想、党的十九大精神和习近平生态文明思想，全面落实“创新、协调、绿色、开放、共享”的发展理念，以国家和地方环境保护法律、法规和技术规范为依据，改善人居环境，推动绿色健康养殖，引导畜禽养殖向规模化、集约化、生态化方向发展，促进农业面源污染防治、提升耕地质量，加快构建种养结合、农牧循环的现代化农业发展新格局。</w:t>
      </w:r>
    </w:p>
    <w:p>
      <w:pPr>
        <w:pStyle w:val="14"/>
        <w:spacing w:before="163" w:after="163"/>
        <w:rPr>
          <w:color w:val="auto"/>
        </w:rPr>
      </w:pPr>
      <w:bookmarkStart w:id="4" w:name="_Toc171516462"/>
      <w:r>
        <w:rPr>
          <w:color w:val="auto"/>
        </w:rPr>
        <w:t>划分原则</w:t>
      </w:r>
      <w:bookmarkEnd w:id="4"/>
    </w:p>
    <w:p>
      <w:pPr>
        <w:ind w:firstLine="480"/>
        <w:rPr>
          <w:color w:val="auto"/>
          <w:lang w:val="zh-CN"/>
        </w:rPr>
      </w:pPr>
      <w:r>
        <w:rPr>
          <w:rFonts w:hint="eastAsia"/>
          <w:color w:val="auto"/>
          <w:lang w:val="zh-CN"/>
        </w:rPr>
        <w:t>（1）统筹兼顾原则</w:t>
      </w:r>
    </w:p>
    <w:p>
      <w:pPr>
        <w:ind w:firstLine="480"/>
        <w:rPr>
          <w:color w:val="auto"/>
          <w:lang w:val="zh-CN"/>
        </w:rPr>
      </w:pPr>
      <w:r>
        <w:rPr>
          <w:rFonts w:hint="eastAsia"/>
          <w:color w:val="auto"/>
          <w:lang w:val="zh-CN"/>
        </w:rPr>
        <w:t>畜禽养殖禁养区划定是一项系统工程，是生态环境保护与畜禽养殖业持续健康协调发展的有机结合。根据畜禽养殖不同种类对自然环境和条件的差异性要求，结合区域河流水系、地形地貌及土壤类型特征，综合考量水环境和土壤环境综合承载力，统筹兼顾畜禽养殖业发展规划与畜禽养殖污染治理规划，促进畜禽养殖业的可持续发展、使得畜禽养殖污染防治能够有效推进。</w:t>
      </w:r>
    </w:p>
    <w:p>
      <w:pPr>
        <w:ind w:firstLine="480"/>
        <w:rPr>
          <w:color w:val="auto"/>
          <w:lang w:val="zh-CN"/>
        </w:rPr>
      </w:pPr>
      <w:r>
        <w:rPr>
          <w:rFonts w:hint="eastAsia"/>
          <w:color w:val="auto"/>
          <w:lang w:val="zh-CN"/>
        </w:rPr>
        <w:t>（2）科学合理原则</w:t>
      </w:r>
    </w:p>
    <w:p>
      <w:pPr>
        <w:ind w:firstLine="480"/>
        <w:rPr>
          <w:color w:val="auto"/>
          <w:lang w:val="zh-CN"/>
        </w:rPr>
      </w:pPr>
      <w:r>
        <w:rPr>
          <w:rFonts w:hint="eastAsia"/>
          <w:color w:val="auto"/>
          <w:lang w:val="zh-CN"/>
        </w:rPr>
        <w:t>畜禽养殖禁养区的划定是以依法保护生态环境，维护群众合法权益为基础划定的，以饮用水水源保护区、自然保护区、风景名胜区、城镇居民区和文化教育科学研究区及确需纳入禁养区范围进行特殊保护的其他区域等边界确定方法和范围划定原则为依据，严格按照保护目的和需要，科学合理设置边界范围。</w:t>
      </w:r>
    </w:p>
    <w:p>
      <w:pPr>
        <w:ind w:firstLine="480"/>
        <w:rPr>
          <w:color w:val="auto"/>
          <w:lang w:val="zh-CN"/>
        </w:rPr>
      </w:pPr>
      <w:r>
        <w:rPr>
          <w:rFonts w:hint="eastAsia"/>
          <w:color w:val="auto"/>
          <w:lang w:val="zh-CN"/>
        </w:rPr>
        <w:t>（3）协调一致原则</w:t>
      </w:r>
    </w:p>
    <w:p>
      <w:pPr>
        <w:ind w:firstLine="480"/>
        <w:rPr>
          <w:color w:val="auto"/>
          <w:lang w:val="zh-CN"/>
        </w:rPr>
      </w:pPr>
      <w:r>
        <w:rPr>
          <w:rFonts w:hint="eastAsia"/>
          <w:color w:val="auto"/>
          <w:lang w:val="zh-CN"/>
        </w:rPr>
        <w:t>畜禽养殖禁养区划定应与区域内生态功能区规划、主体功能区规划、土地利用总体规划等相协调，与经济社会发展需求和生态文明建设目标相适应。</w:t>
      </w:r>
    </w:p>
    <w:p>
      <w:pPr>
        <w:ind w:firstLine="480"/>
        <w:rPr>
          <w:color w:val="auto"/>
          <w:lang w:val="zh-CN"/>
        </w:rPr>
      </w:pPr>
      <w:r>
        <w:rPr>
          <w:rFonts w:hint="eastAsia"/>
          <w:color w:val="auto"/>
          <w:lang w:val="zh-CN"/>
        </w:rPr>
        <w:t>（4）强制动态原则</w:t>
      </w:r>
    </w:p>
    <w:p>
      <w:pPr>
        <w:ind w:firstLine="480"/>
        <w:rPr>
          <w:color w:val="auto"/>
          <w:lang w:val="zh-CN"/>
        </w:rPr>
      </w:pPr>
      <w:r>
        <w:rPr>
          <w:rFonts w:hint="eastAsia"/>
          <w:color w:val="auto"/>
          <w:lang w:val="zh-CN"/>
        </w:rPr>
        <w:t>畜禽养殖禁养区划定后，必须实行严格保护，制定和执行严格地管控措施；禁养区划定后原则上5年内不做调整，确需调整，</w:t>
      </w:r>
      <w:r>
        <w:rPr>
          <w:rFonts w:hint="eastAsia"/>
          <w:color w:val="auto"/>
        </w:rPr>
        <w:t>应</w:t>
      </w:r>
      <w:r>
        <w:rPr>
          <w:rFonts w:hint="eastAsia"/>
          <w:color w:val="auto"/>
          <w:lang w:val="zh-CN"/>
        </w:rPr>
        <w:t>根据《畜禽养殖禁养区划定技术指南》（环办水体〔2016〕99号）</w:t>
      </w:r>
      <w:r>
        <w:rPr>
          <w:rFonts w:hint="eastAsia"/>
          <w:color w:val="auto"/>
        </w:rPr>
        <w:t>等相关技术规范</w:t>
      </w:r>
      <w:r>
        <w:rPr>
          <w:rFonts w:hint="eastAsia"/>
          <w:color w:val="auto"/>
          <w:lang w:val="zh-CN"/>
        </w:rPr>
        <w:t>开展工作。</w:t>
      </w:r>
    </w:p>
    <w:p>
      <w:pPr>
        <w:pStyle w:val="14"/>
        <w:spacing w:before="163" w:after="163"/>
        <w:rPr>
          <w:color w:val="auto"/>
        </w:rPr>
      </w:pPr>
      <w:bookmarkStart w:id="5" w:name="_Toc171516463"/>
      <w:r>
        <w:rPr>
          <w:rFonts w:hint="eastAsia"/>
          <w:color w:val="auto"/>
        </w:rPr>
        <w:t>编制依据</w:t>
      </w:r>
      <w:bookmarkEnd w:id="5"/>
    </w:p>
    <w:p>
      <w:pPr>
        <w:ind w:firstLine="480"/>
        <w:rPr>
          <w:color w:val="auto"/>
          <w:lang w:val="zh-CN"/>
        </w:rPr>
      </w:pPr>
      <w:r>
        <w:rPr>
          <w:rFonts w:hint="eastAsia"/>
          <w:color w:val="auto"/>
          <w:lang w:val="zh-CN"/>
        </w:rPr>
        <w:t>（1）《中华人民共和国环境保护法》，2014年4月24日修订；</w:t>
      </w:r>
    </w:p>
    <w:p>
      <w:pPr>
        <w:ind w:firstLine="480"/>
        <w:rPr>
          <w:color w:val="auto"/>
          <w:lang w:val="zh-CN"/>
        </w:rPr>
      </w:pPr>
      <w:r>
        <w:rPr>
          <w:rFonts w:hint="eastAsia"/>
          <w:color w:val="auto"/>
          <w:lang w:val="zh-CN"/>
        </w:rPr>
        <w:t>（2）《中华人民共和国水污染防治法》，2017年6月27日修正；</w:t>
      </w:r>
    </w:p>
    <w:p>
      <w:pPr>
        <w:ind w:firstLine="480"/>
        <w:rPr>
          <w:color w:val="auto"/>
          <w:lang w:val="zh-CN"/>
        </w:rPr>
      </w:pPr>
      <w:r>
        <w:rPr>
          <w:rFonts w:hint="eastAsia"/>
          <w:color w:val="auto"/>
          <w:lang w:val="zh-CN"/>
        </w:rPr>
        <w:t>（3）《中华人民共和国土壤污染防治法》，2019年1月1日施行；</w:t>
      </w:r>
    </w:p>
    <w:p>
      <w:pPr>
        <w:ind w:firstLine="480"/>
        <w:rPr>
          <w:color w:val="auto"/>
          <w:lang w:val="zh-CN"/>
        </w:rPr>
      </w:pPr>
      <w:r>
        <w:rPr>
          <w:rFonts w:hint="eastAsia"/>
          <w:color w:val="auto"/>
          <w:lang w:val="zh-CN"/>
        </w:rPr>
        <w:t>（4）《中华人民共和国大气污染防治法》，2018年10月26日修正；</w:t>
      </w:r>
    </w:p>
    <w:p>
      <w:pPr>
        <w:ind w:firstLine="480"/>
        <w:rPr>
          <w:color w:val="auto"/>
          <w:lang w:val="zh-CN"/>
        </w:rPr>
      </w:pPr>
      <w:r>
        <w:rPr>
          <w:rFonts w:hint="eastAsia"/>
          <w:color w:val="auto"/>
          <w:lang w:val="zh-CN"/>
        </w:rPr>
        <w:t>（5）《中华人民共和国固体废物污染环境防治法》，2020年4月29日修正；</w:t>
      </w:r>
    </w:p>
    <w:p>
      <w:pPr>
        <w:ind w:firstLine="480"/>
        <w:rPr>
          <w:color w:val="auto"/>
          <w:lang w:val="zh-CN"/>
        </w:rPr>
      </w:pPr>
      <w:r>
        <w:rPr>
          <w:rFonts w:hint="eastAsia"/>
          <w:color w:val="auto"/>
          <w:lang w:val="zh-CN"/>
        </w:rPr>
        <w:t>（6）《中华人民共和国农业法》，2013年1月1日起施行；</w:t>
      </w:r>
    </w:p>
    <w:p>
      <w:pPr>
        <w:ind w:firstLine="480"/>
        <w:rPr>
          <w:color w:val="auto"/>
          <w:lang w:val="zh-CN"/>
        </w:rPr>
      </w:pPr>
      <w:r>
        <w:rPr>
          <w:rFonts w:hint="eastAsia"/>
          <w:color w:val="auto"/>
          <w:lang w:val="zh-CN"/>
        </w:rPr>
        <w:t>（7）《中华人民共和国畜牧法》，2022年10月30日修正；</w:t>
      </w:r>
    </w:p>
    <w:p>
      <w:pPr>
        <w:ind w:firstLine="480"/>
        <w:rPr>
          <w:color w:val="auto"/>
          <w:lang w:val="zh-CN"/>
        </w:rPr>
      </w:pPr>
      <w:r>
        <w:rPr>
          <w:rFonts w:hint="eastAsia"/>
          <w:color w:val="auto"/>
          <w:lang w:val="zh-CN"/>
        </w:rPr>
        <w:t>（8）《畜禽规模养殖污染防治条例》，2014年1月1日起施行；</w:t>
      </w:r>
    </w:p>
    <w:p>
      <w:pPr>
        <w:ind w:firstLine="480"/>
        <w:rPr>
          <w:color w:val="auto"/>
          <w:lang w:val="zh-CN"/>
        </w:rPr>
      </w:pPr>
      <w:r>
        <w:rPr>
          <w:rFonts w:hint="eastAsia"/>
          <w:color w:val="auto"/>
          <w:lang w:val="zh-CN"/>
        </w:rPr>
        <w:t>（9）《广东省水污染防治条例》，2021年9月29日修正；</w:t>
      </w:r>
    </w:p>
    <w:p>
      <w:pPr>
        <w:ind w:firstLine="480"/>
        <w:rPr>
          <w:color w:val="auto"/>
          <w:lang w:val="zh-CN"/>
        </w:rPr>
      </w:pPr>
      <w:r>
        <w:rPr>
          <w:rFonts w:hint="eastAsia"/>
          <w:color w:val="auto"/>
          <w:lang w:val="zh-CN"/>
        </w:rPr>
        <w:t>（10）《广东省大气污染防治条例》，2022年11月30日修正；</w:t>
      </w:r>
    </w:p>
    <w:p>
      <w:pPr>
        <w:ind w:firstLine="480"/>
        <w:rPr>
          <w:color w:val="auto"/>
        </w:rPr>
      </w:pPr>
      <w:r>
        <w:rPr>
          <w:rFonts w:hint="eastAsia"/>
          <w:color w:val="auto"/>
          <w:lang w:val="zh-CN"/>
        </w:rPr>
        <w:t>（11）</w:t>
      </w:r>
      <w:r>
        <w:rPr>
          <w:rFonts w:hint="eastAsia"/>
          <w:color w:val="auto"/>
        </w:rPr>
        <w:t>《关于进一步规范畜禽养殖禁养区划定和管理促进生猪生产发展的通知》（环办土壤﹝2019﹞55号）；</w:t>
      </w:r>
    </w:p>
    <w:p>
      <w:pPr>
        <w:ind w:firstLine="480"/>
        <w:rPr>
          <w:rStyle w:val="21"/>
          <w:rFonts w:hint="default"/>
          <w:color w:val="auto"/>
        </w:rPr>
      </w:pPr>
      <w:r>
        <w:rPr>
          <w:rFonts w:hint="eastAsia"/>
          <w:color w:val="auto"/>
        </w:rPr>
        <w:t>（12）</w:t>
      </w:r>
      <w:r>
        <w:rPr>
          <w:rStyle w:val="21"/>
          <w:rFonts w:hint="default"/>
          <w:color w:val="auto"/>
        </w:rPr>
        <w:t>《畜禽养殖禁养区划定技术指南》（环办水体〔</w:t>
      </w:r>
      <w:r>
        <w:rPr>
          <w:rStyle w:val="22"/>
          <w:color w:val="auto"/>
        </w:rPr>
        <w:t>2016</w:t>
      </w:r>
      <w:r>
        <w:rPr>
          <w:rStyle w:val="21"/>
          <w:rFonts w:hint="default"/>
          <w:color w:val="auto"/>
        </w:rPr>
        <w:t>〕</w:t>
      </w:r>
      <w:r>
        <w:rPr>
          <w:rStyle w:val="22"/>
          <w:color w:val="auto"/>
        </w:rPr>
        <w:t>99</w:t>
      </w:r>
      <w:r>
        <w:rPr>
          <w:rStyle w:val="21"/>
          <w:rFonts w:hint="default"/>
          <w:color w:val="auto"/>
        </w:rPr>
        <w:t>号）；</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（13）《中华人民共和国动物防疫法》，2015年修正；</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（14）《动物防疫条件审查办法》，中华人民共和国农业农村部令2022年第8号；</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（15）《关于进一步规范畜禽养殖禁养区管理的通知》（</w:t>
      </w:r>
      <w:r>
        <w:rPr>
          <w:rFonts w:hint="eastAsia"/>
          <w:color w:val="auto"/>
        </w:rPr>
        <w:t>环办土壤函﹝2020﹞33号</w:t>
      </w:r>
      <w:r>
        <w:rPr>
          <w:rStyle w:val="21"/>
          <w:rFonts w:hint="default" w:ascii="Times New Roman" w:hAnsi="Times New Roman" w:cs="Times New Roman"/>
          <w:color w:val="auto"/>
        </w:rPr>
        <w:t>）；</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（16）《湛江市人民政府关于在湛江市区划定畜禽养殖禁养区限养区适养区的通告》（湛府通〔2013〕48号）；</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（17）《广东省人民政府关于印发&lt;广东省“三线一单”生态环境分区管控方案&gt;的通知》（粤府〔2020〕71号）；</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（18）《湛江市人民政府关于印发&lt;湛江市“三线一单”生态环境分区管控方案&gt;的通知》（湛府〔2021〕30号）；</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（19）《湛江市生态环境局关于印发湛江市2023“三线一单”生态环境分区管控成果更新调整成果的通知》，2024年2月8日；</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（20）《湛江市东海岛城市总体规划（2013-2030年）》；</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（21）《湛江经济技术开发区（东海岛）国土空间总体规划（2021-2035年）》；</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（22）《广东省现代畜牧业发展“十四五”规划（2021-2025年）》；</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（23）《广东省生态环境保护“十四五”规划》（2021年12月）；</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（24）《广东省地表水环境功能区划》（粤环〔2011〕14号）；</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（25）《广东省生猪生产发展总体规划和区域布局（2018-2020年）》；</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（26）《湛江市生态环境保护“十四五”规划》（2022年3月）；</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（27）《湛江市农业农村现代化“十四五”规划（2021-2025年）》；</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（28）《湛江市人民政府关于印发湛江市乡镇及以下集中式饮用水水源保护区划定方案的通知》（湛府〔2020〕65号）；</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（29）《湛江市人民政府关于湛江市部分乡镇及以下集中式饮用水水源保护区划定方案的批复》（湛府函〔2022〕163号）；</w:t>
      </w:r>
    </w:p>
    <w:p>
      <w:pPr>
        <w:ind w:firstLine="480"/>
        <w:rPr>
          <w:rFonts w:cs="Times New Roman"/>
          <w:color w:val="auto"/>
          <w:lang w:val="zh-CN"/>
        </w:rPr>
      </w:pPr>
      <w:r>
        <w:rPr>
          <w:rStyle w:val="21"/>
          <w:rFonts w:hint="default" w:ascii="Times New Roman" w:hAnsi="Times New Roman" w:cs="Times New Roman"/>
          <w:color w:val="auto"/>
        </w:rPr>
        <w:t>（30）湛江市生态环境局关于印发《湛江市饮用水水源保护区边界矢量图集》的通知，湛环〔2023〕206号。</w:t>
      </w:r>
    </w:p>
    <w:p>
      <w:pPr>
        <w:pStyle w:val="14"/>
        <w:spacing w:before="163" w:after="163"/>
        <w:rPr>
          <w:color w:val="auto"/>
        </w:rPr>
      </w:pPr>
      <w:bookmarkStart w:id="6" w:name="_Toc171516464"/>
      <w:r>
        <w:rPr>
          <w:color w:val="auto"/>
        </w:rPr>
        <w:t>术语与定义</w:t>
      </w:r>
      <w:bookmarkEnd w:id="6"/>
    </w:p>
    <w:p>
      <w:pPr>
        <w:ind w:firstLine="480"/>
        <w:rPr>
          <w:color w:val="auto"/>
          <w:lang w:val="zh-CN"/>
        </w:rPr>
      </w:pPr>
      <w:r>
        <w:rPr>
          <w:rFonts w:hint="eastAsia"/>
          <w:color w:val="auto"/>
          <w:lang w:val="zh-CN"/>
        </w:rPr>
        <w:t>（1）畜禽</w:t>
      </w:r>
    </w:p>
    <w:p>
      <w:pPr>
        <w:ind w:firstLine="480"/>
        <w:rPr>
          <w:color w:val="auto"/>
          <w:lang w:val="zh-CN"/>
        </w:rPr>
      </w:pPr>
      <w:r>
        <w:rPr>
          <w:rFonts w:hint="eastAsia"/>
          <w:color w:val="auto"/>
          <w:lang w:val="zh-CN"/>
        </w:rPr>
        <w:t>本方案所指“畜禽”，是指根据《中华人民共和国畜牧法》规定，由国务院批准列入畜禽遗传资源目录的畜禽。</w:t>
      </w:r>
    </w:p>
    <w:p>
      <w:pPr>
        <w:ind w:firstLine="480"/>
        <w:rPr>
          <w:color w:val="auto"/>
          <w:lang w:val="zh-CN"/>
        </w:rPr>
      </w:pPr>
      <w:r>
        <w:rPr>
          <w:rFonts w:hint="eastAsia"/>
          <w:color w:val="auto"/>
          <w:lang w:val="zh-CN"/>
        </w:rPr>
        <w:t>（2）畜禽养殖场（小区）、畜禽养殖专业户</w:t>
      </w:r>
    </w:p>
    <w:p>
      <w:pPr>
        <w:ind w:firstLine="480"/>
        <w:rPr>
          <w:color w:val="auto"/>
          <w:lang w:val="zh-CN"/>
        </w:rPr>
      </w:pPr>
      <w:r>
        <w:rPr>
          <w:rFonts w:hint="eastAsia"/>
          <w:color w:val="auto"/>
          <w:lang w:val="zh-CN"/>
        </w:rPr>
        <w:t>根据《广东省农业农村厅种畜禽生产经营许可证发放和畜禽养殖备案办法》（粤农农规〔2019〕10号），本方案所称畜禽养殖场（小区）、养殖专业户及散养户的定义如下：</w:t>
      </w:r>
    </w:p>
    <w:p>
      <w:pPr>
        <w:ind w:firstLine="480"/>
        <w:rPr>
          <w:color w:val="auto"/>
          <w:lang w:val="zh-CN"/>
        </w:rPr>
      </w:pPr>
      <w:r>
        <w:rPr>
          <w:rFonts w:hint="eastAsia"/>
          <w:color w:val="auto"/>
          <w:lang w:val="zh-CN"/>
        </w:rPr>
        <w:t>畜禽养殖场：是指饲养某一特定畜禽、具备一定条件的规模养殖场；</w:t>
      </w:r>
    </w:p>
    <w:p>
      <w:pPr>
        <w:ind w:firstLine="480"/>
        <w:rPr>
          <w:color w:val="auto"/>
          <w:lang w:val="zh-CN"/>
        </w:rPr>
      </w:pPr>
      <w:r>
        <w:rPr>
          <w:rFonts w:hint="eastAsia"/>
          <w:color w:val="auto"/>
          <w:lang w:val="zh-CN"/>
        </w:rPr>
        <w:t>畜禽养殖小区：是指集中建造畜禽栏舍饲养某一特定畜禽、具备一定条件、由多户农民分户饲养，实行统一管理的畜禽饲养园区，养殖规模同畜禽养殖场（小区）；</w:t>
      </w:r>
    </w:p>
    <w:p>
      <w:pPr>
        <w:ind w:firstLine="480"/>
        <w:rPr>
          <w:color w:val="auto"/>
          <w:lang w:val="zh-CN"/>
        </w:rPr>
      </w:pPr>
      <w:r>
        <w:rPr>
          <w:rFonts w:hint="eastAsia"/>
          <w:color w:val="auto"/>
          <w:lang w:val="zh-CN"/>
        </w:rPr>
        <w:t>畜禽养殖专业户：是指饲养某一特定畜禽、达到一定规模的养殖户；</w:t>
      </w:r>
    </w:p>
    <w:p>
      <w:pPr>
        <w:ind w:firstLine="480"/>
        <w:rPr>
          <w:color w:val="auto"/>
          <w:lang w:val="zh-CN"/>
        </w:rPr>
      </w:pPr>
      <w:r>
        <w:rPr>
          <w:rFonts w:hint="eastAsia"/>
          <w:color w:val="auto"/>
          <w:lang w:val="zh-CN"/>
        </w:rPr>
        <w:t>畜禽散养户：指养殖规模低于畜禽养殖场（小区）和养殖专业户的养殖户。</w:t>
      </w:r>
    </w:p>
    <w:p>
      <w:pPr>
        <w:ind w:firstLine="480"/>
        <w:rPr>
          <w:color w:val="auto"/>
          <w:lang w:val="zh-CN"/>
        </w:rPr>
      </w:pPr>
      <w:r>
        <w:rPr>
          <w:rFonts w:hint="eastAsia"/>
          <w:color w:val="auto"/>
          <w:lang w:val="zh-CN"/>
        </w:rPr>
        <w:t>（3）畜禽养殖规模标准</w:t>
      </w:r>
    </w:p>
    <w:p>
      <w:pPr>
        <w:ind w:firstLine="480"/>
        <w:rPr>
          <w:color w:val="auto"/>
          <w:lang w:val="zh-CN"/>
        </w:rPr>
      </w:pPr>
      <w:r>
        <w:rPr>
          <w:rFonts w:hint="eastAsia"/>
          <w:color w:val="auto"/>
          <w:lang w:val="zh-CN"/>
        </w:rPr>
        <w:t>根据《畜禽养殖污染防治规划编制指南（试行）》、生态环境部《建设项目环境影响评价分类管理名录（2021年版）》常见问题解答，不同畜禽养殖原则上应根据实际粪污产生量折算为生猪养殖规模，《排污许可证申请与核发技术规范畜禽养殖行业》（HJ1029-2019）已有折算比例的可参照执行。</w:t>
      </w:r>
    </w:p>
    <w:p>
      <w:pPr>
        <w:ind w:firstLine="480"/>
        <w:rPr>
          <w:color w:val="auto"/>
          <w:lang w:val="zh-CN"/>
        </w:rPr>
      </w:pPr>
      <w:r>
        <w:rPr>
          <w:rFonts w:hint="eastAsia"/>
          <w:color w:val="auto"/>
          <w:lang w:val="zh-CN"/>
        </w:rPr>
        <w:t>根据湛江市生态环境局《关于畜禽养殖场、养殖小区规模标准的复函》、《广东省农业农村厅种畜禽生产经营许可证发放和畜禽养殖备案办法》（粤农农规〔2019〕10号），并结合经开区畜禽养殖的主要种类对区域内规模养殖标准进行界定，结果见表1.5-1。</w:t>
      </w:r>
    </w:p>
    <w:p>
      <w:pPr>
        <w:pStyle w:val="17"/>
        <w:rPr>
          <w:color w:val="auto"/>
          <w:lang w:val="zh-CN"/>
        </w:rPr>
      </w:pPr>
      <w:r>
        <w:rPr>
          <w:rFonts w:hint="eastAsia"/>
          <w:color w:val="auto"/>
          <w:lang w:val="zh-CN"/>
        </w:rPr>
        <w:t>表1.5-1    经开区畜禽养殖规模认定标准一览表</w:t>
      </w:r>
    </w:p>
    <w:tbl>
      <w:tblPr>
        <w:tblStyle w:val="12"/>
        <w:tblW w:w="92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225"/>
        <w:gridCol w:w="2607"/>
        <w:gridCol w:w="2551"/>
        <w:gridCol w:w="22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71" w:type="dxa"/>
            <w:vMerge w:val="restart"/>
            <w:vAlign w:val="center"/>
          </w:tcPr>
          <w:p>
            <w:pPr>
              <w:pStyle w:val="18"/>
              <w:rPr>
                <w:color w:val="auto"/>
                <w:lang w:val="zh-CN"/>
              </w:rPr>
            </w:pPr>
            <w:r>
              <w:rPr>
                <w:rFonts w:hint="eastAsia"/>
                <w:color w:val="auto"/>
                <w:lang w:val="zh-CN"/>
              </w:rPr>
              <w:t>序号</w:t>
            </w:r>
          </w:p>
        </w:tc>
        <w:tc>
          <w:tcPr>
            <w:tcW w:w="1225" w:type="dxa"/>
            <w:vAlign w:val="center"/>
          </w:tcPr>
          <w:p>
            <w:pPr>
              <w:pStyle w:val="18"/>
              <w:rPr>
                <w:color w:val="auto"/>
                <w:lang w:val="zh-CN"/>
              </w:rPr>
            </w:pPr>
            <w:r>
              <w:rPr>
                <w:rFonts w:hint="eastAsia"/>
                <w:color w:val="auto"/>
                <w:lang w:val="zh-CN"/>
              </w:rPr>
              <w:t>文件依据</w:t>
            </w:r>
          </w:p>
        </w:tc>
        <w:tc>
          <w:tcPr>
            <w:tcW w:w="7390" w:type="dxa"/>
            <w:gridSpan w:val="3"/>
            <w:vAlign w:val="center"/>
          </w:tcPr>
          <w:p>
            <w:pPr>
              <w:pStyle w:val="18"/>
              <w:rPr>
                <w:color w:val="auto"/>
                <w:lang w:val="zh-CN"/>
              </w:rPr>
            </w:pPr>
            <w:r>
              <w:rPr>
                <w:rFonts w:hint="eastAsia"/>
                <w:color w:val="auto"/>
                <w:lang w:val="zh-CN"/>
              </w:rPr>
              <w:t>湛江市生态环境局《关于畜禽养殖场、养殖小区规模标准的复函》、《广东省农业农村厅种畜禽生产经营许可证发放和畜禽养殖备案办法》（粤农农规〔2019〕10号）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71" w:type="dxa"/>
            <w:vMerge w:val="continue"/>
            <w:vAlign w:val="center"/>
          </w:tcPr>
          <w:p>
            <w:pPr>
              <w:pStyle w:val="18"/>
              <w:rPr>
                <w:color w:val="auto"/>
                <w:lang w:val="zh-CN"/>
              </w:rPr>
            </w:pPr>
          </w:p>
        </w:tc>
        <w:tc>
          <w:tcPr>
            <w:tcW w:w="1225" w:type="dxa"/>
            <w:vAlign w:val="center"/>
          </w:tcPr>
          <w:p>
            <w:pPr>
              <w:pStyle w:val="18"/>
              <w:rPr>
                <w:color w:val="auto"/>
                <w:lang w:val="zh-CN"/>
              </w:rPr>
            </w:pPr>
            <w:r>
              <w:rPr>
                <w:rFonts w:hint="eastAsia"/>
                <w:color w:val="auto"/>
                <w:lang w:val="zh-CN"/>
              </w:rPr>
              <w:t>畜禽养殖规模</w:t>
            </w:r>
          </w:p>
        </w:tc>
        <w:tc>
          <w:tcPr>
            <w:tcW w:w="2607" w:type="dxa"/>
            <w:vAlign w:val="center"/>
          </w:tcPr>
          <w:p>
            <w:pPr>
              <w:pStyle w:val="18"/>
              <w:rPr>
                <w:color w:val="auto"/>
                <w:lang w:val="zh-CN"/>
              </w:rPr>
            </w:pPr>
            <w:r>
              <w:rPr>
                <w:rFonts w:hint="eastAsia"/>
                <w:color w:val="auto"/>
                <w:lang w:val="zh-CN"/>
              </w:rPr>
              <w:t>养殖场、养殖小区</w:t>
            </w:r>
          </w:p>
        </w:tc>
        <w:tc>
          <w:tcPr>
            <w:tcW w:w="2551" w:type="dxa"/>
            <w:vAlign w:val="center"/>
          </w:tcPr>
          <w:p>
            <w:pPr>
              <w:pStyle w:val="18"/>
              <w:rPr>
                <w:color w:val="auto"/>
                <w:lang w:val="zh-CN"/>
              </w:rPr>
            </w:pPr>
            <w:r>
              <w:rPr>
                <w:rFonts w:hint="eastAsia"/>
                <w:color w:val="auto"/>
                <w:lang w:val="zh-CN"/>
              </w:rPr>
              <w:t>养殖专业户</w:t>
            </w:r>
          </w:p>
        </w:tc>
        <w:tc>
          <w:tcPr>
            <w:tcW w:w="2232" w:type="dxa"/>
            <w:vAlign w:val="center"/>
          </w:tcPr>
          <w:p>
            <w:pPr>
              <w:pStyle w:val="18"/>
              <w:rPr>
                <w:color w:val="auto"/>
                <w:lang w:val="zh-CN"/>
              </w:rPr>
            </w:pPr>
            <w:r>
              <w:rPr>
                <w:rFonts w:hint="eastAsia"/>
                <w:color w:val="auto"/>
                <w:lang w:val="zh-CN"/>
              </w:rPr>
              <w:t>散养户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71" w:type="dxa"/>
            <w:vAlign w:val="center"/>
          </w:tcPr>
          <w:p>
            <w:pPr>
              <w:pStyle w:val="18"/>
              <w:rPr>
                <w:color w:val="auto"/>
                <w:lang w:val="zh-CN"/>
              </w:rPr>
            </w:pPr>
            <w:r>
              <w:rPr>
                <w:rFonts w:hint="eastAsia"/>
                <w:color w:val="auto"/>
                <w:lang w:val="zh-CN"/>
              </w:rPr>
              <w:t>1</w:t>
            </w:r>
          </w:p>
        </w:tc>
        <w:tc>
          <w:tcPr>
            <w:tcW w:w="1225" w:type="dxa"/>
            <w:vAlign w:val="center"/>
          </w:tcPr>
          <w:p>
            <w:pPr>
              <w:pStyle w:val="18"/>
              <w:rPr>
                <w:color w:val="auto"/>
                <w:lang w:val="zh-CN"/>
              </w:rPr>
            </w:pPr>
            <w:r>
              <w:rPr>
                <w:rFonts w:hint="eastAsia"/>
                <w:color w:val="auto"/>
                <w:lang w:val="zh-CN"/>
              </w:rPr>
              <w:t>生猪</w:t>
            </w:r>
          </w:p>
        </w:tc>
        <w:tc>
          <w:tcPr>
            <w:tcW w:w="2607" w:type="dxa"/>
            <w:vAlign w:val="center"/>
          </w:tcPr>
          <w:p>
            <w:pPr>
              <w:pStyle w:val="18"/>
              <w:rPr>
                <w:color w:val="auto"/>
                <w:lang w:val="zh-CN"/>
              </w:rPr>
            </w:pPr>
            <w:r>
              <w:rPr>
                <w:rFonts w:hint="eastAsia"/>
                <w:color w:val="auto"/>
                <w:lang w:val="zh-CN"/>
              </w:rPr>
              <w:t>年出栏500头或存栏300头以上</w:t>
            </w:r>
          </w:p>
        </w:tc>
        <w:tc>
          <w:tcPr>
            <w:tcW w:w="2551" w:type="dxa"/>
            <w:vAlign w:val="center"/>
          </w:tcPr>
          <w:p>
            <w:pPr>
              <w:pStyle w:val="18"/>
              <w:rPr>
                <w:color w:val="auto"/>
                <w:lang w:val="zh-CN"/>
              </w:rPr>
            </w:pPr>
            <w:r>
              <w:rPr>
                <w:rFonts w:hint="eastAsia"/>
                <w:color w:val="auto"/>
                <w:lang w:val="zh-CN"/>
              </w:rPr>
              <w:t>生猪年出栏50至499头或存栏30至299头</w:t>
            </w:r>
          </w:p>
        </w:tc>
        <w:tc>
          <w:tcPr>
            <w:tcW w:w="2232" w:type="dxa"/>
            <w:vAlign w:val="center"/>
          </w:tcPr>
          <w:p>
            <w:pPr>
              <w:pStyle w:val="18"/>
              <w:rPr>
                <w:color w:val="auto"/>
                <w:lang w:val="zh-CN"/>
              </w:rPr>
            </w:pPr>
            <w:r>
              <w:rPr>
                <w:rFonts w:hint="eastAsia"/>
                <w:color w:val="auto"/>
                <w:lang w:val="zh-CN"/>
              </w:rPr>
              <w:t>年出栏小于50头或存栏小于30头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71" w:type="dxa"/>
            <w:vAlign w:val="center"/>
          </w:tcPr>
          <w:p>
            <w:pPr>
              <w:pStyle w:val="18"/>
              <w:rPr>
                <w:color w:val="auto"/>
                <w:lang w:val="zh-CN"/>
              </w:rPr>
            </w:pPr>
            <w:r>
              <w:rPr>
                <w:rFonts w:hint="eastAsia"/>
                <w:color w:val="auto"/>
                <w:lang w:val="zh-CN"/>
              </w:rPr>
              <w:t>2</w:t>
            </w:r>
          </w:p>
        </w:tc>
        <w:tc>
          <w:tcPr>
            <w:tcW w:w="1225" w:type="dxa"/>
            <w:vAlign w:val="center"/>
          </w:tcPr>
          <w:p>
            <w:pPr>
              <w:pStyle w:val="18"/>
              <w:rPr>
                <w:color w:val="auto"/>
                <w:lang w:val="zh-CN"/>
              </w:rPr>
            </w:pPr>
            <w:r>
              <w:rPr>
                <w:rFonts w:hint="eastAsia"/>
                <w:color w:val="auto"/>
                <w:lang w:val="zh-CN"/>
              </w:rPr>
              <w:t>肉牛</w:t>
            </w:r>
          </w:p>
        </w:tc>
        <w:tc>
          <w:tcPr>
            <w:tcW w:w="2607" w:type="dxa"/>
            <w:vAlign w:val="center"/>
          </w:tcPr>
          <w:p>
            <w:pPr>
              <w:pStyle w:val="18"/>
              <w:rPr>
                <w:color w:val="auto"/>
                <w:lang w:val="zh-CN"/>
              </w:rPr>
            </w:pPr>
            <w:r>
              <w:rPr>
                <w:rFonts w:hint="eastAsia"/>
                <w:color w:val="auto"/>
                <w:lang w:val="zh-CN"/>
              </w:rPr>
              <w:t>年出栏50头或存栏100头以上</w:t>
            </w:r>
          </w:p>
        </w:tc>
        <w:tc>
          <w:tcPr>
            <w:tcW w:w="2551" w:type="dxa"/>
            <w:vAlign w:val="center"/>
          </w:tcPr>
          <w:p>
            <w:pPr>
              <w:pStyle w:val="18"/>
              <w:rPr>
                <w:color w:val="auto"/>
                <w:lang w:val="zh-CN"/>
              </w:rPr>
            </w:pPr>
            <w:r>
              <w:rPr>
                <w:rFonts w:hint="eastAsia"/>
                <w:color w:val="auto"/>
                <w:lang w:val="zh-CN"/>
              </w:rPr>
              <w:t>年出栏10至49头或存栏20至99头</w:t>
            </w:r>
          </w:p>
        </w:tc>
        <w:tc>
          <w:tcPr>
            <w:tcW w:w="2232" w:type="dxa"/>
            <w:vAlign w:val="center"/>
          </w:tcPr>
          <w:p>
            <w:pPr>
              <w:pStyle w:val="18"/>
              <w:rPr>
                <w:color w:val="auto"/>
                <w:lang w:val="zh-CN"/>
              </w:rPr>
            </w:pPr>
            <w:r>
              <w:rPr>
                <w:rFonts w:hint="eastAsia"/>
                <w:color w:val="auto"/>
                <w:lang w:val="zh-CN"/>
              </w:rPr>
              <w:t>年出栏小于10头或存栏小于20头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71" w:type="dxa"/>
            <w:vAlign w:val="center"/>
          </w:tcPr>
          <w:p>
            <w:pPr>
              <w:pStyle w:val="18"/>
              <w:rPr>
                <w:color w:val="auto"/>
                <w:lang w:val="zh-CN"/>
              </w:rPr>
            </w:pPr>
            <w:r>
              <w:rPr>
                <w:rFonts w:hint="eastAsia"/>
                <w:color w:val="auto"/>
                <w:lang w:val="zh-CN"/>
              </w:rPr>
              <w:t>3</w:t>
            </w:r>
          </w:p>
        </w:tc>
        <w:tc>
          <w:tcPr>
            <w:tcW w:w="1225" w:type="dxa"/>
            <w:vAlign w:val="center"/>
          </w:tcPr>
          <w:p>
            <w:pPr>
              <w:pStyle w:val="18"/>
              <w:rPr>
                <w:color w:val="auto"/>
                <w:lang w:val="zh-CN"/>
              </w:rPr>
            </w:pPr>
            <w:r>
              <w:rPr>
                <w:rFonts w:hint="eastAsia"/>
                <w:color w:val="auto"/>
                <w:lang w:val="zh-CN"/>
              </w:rPr>
              <w:t>肉羊</w:t>
            </w:r>
          </w:p>
        </w:tc>
        <w:tc>
          <w:tcPr>
            <w:tcW w:w="2607" w:type="dxa"/>
            <w:vAlign w:val="center"/>
          </w:tcPr>
          <w:p>
            <w:pPr>
              <w:pStyle w:val="18"/>
              <w:rPr>
                <w:color w:val="auto"/>
                <w:lang w:val="zh-CN"/>
              </w:rPr>
            </w:pPr>
            <w:r>
              <w:rPr>
                <w:rFonts w:hint="eastAsia"/>
                <w:color w:val="auto"/>
                <w:lang w:val="zh-CN"/>
              </w:rPr>
              <w:t>年出栏100只或存栏100只以上</w:t>
            </w:r>
          </w:p>
        </w:tc>
        <w:tc>
          <w:tcPr>
            <w:tcW w:w="2551" w:type="dxa"/>
            <w:vAlign w:val="center"/>
          </w:tcPr>
          <w:p>
            <w:pPr>
              <w:pStyle w:val="18"/>
              <w:rPr>
                <w:color w:val="auto"/>
                <w:lang w:val="zh-CN"/>
              </w:rPr>
            </w:pPr>
            <w:r>
              <w:rPr>
                <w:rFonts w:hint="eastAsia"/>
                <w:color w:val="auto"/>
                <w:lang w:val="zh-CN"/>
              </w:rPr>
              <w:t>年出栏30至99只或存栏30至99只</w:t>
            </w:r>
          </w:p>
        </w:tc>
        <w:tc>
          <w:tcPr>
            <w:tcW w:w="2232" w:type="dxa"/>
            <w:vAlign w:val="center"/>
          </w:tcPr>
          <w:p>
            <w:pPr>
              <w:pStyle w:val="18"/>
              <w:rPr>
                <w:color w:val="auto"/>
                <w:lang w:val="zh-CN"/>
              </w:rPr>
            </w:pPr>
            <w:r>
              <w:rPr>
                <w:rFonts w:hint="eastAsia"/>
                <w:color w:val="auto"/>
                <w:lang w:val="zh-CN"/>
              </w:rPr>
              <w:t>年出栏小于30只或存栏小于30只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71" w:type="dxa"/>
            <w:vAlign w:val="center"/>
          </w:tcPr>
          <w:p>
            <w:pPr>
              <w:pStyle w:val="18"/>
              <w:rPr>
                <w:color w:val="auto"/>
                <w:lang w:val="zh-CN"/>
              </w:rPr>
            </w:pPr>
            <w:r>
              <w:rPr>
                <w:rFonts w:hint="eastAsia"/>
                <w:color w:val="auto"/>
                <w:lang w:val="zh-CN"/>
              </w:rPr>
              <w:t>4</w:t>
            </w:r>
          </w:p>
        </w:tc>
        <w:tc>
          <w:tcPr>
            <w:tcW w:w="1225" w:type="dxa"/>
            <w:vAlign w:val="center"/>
          </w:tcPr>
          <w:p>
            <w:pPr>
              <w:pStyle w:val="18"/>
              <w:rPr>
                <w:color w:val="auto"/>
                <w:lang w:val="zh-CN"/>
              </w:rPr>
            </w:pPr>
            <w:r>
              <w:rPr>
                <w:rFonts w:hint="eastAsia"/>
                <w:color w:val="auto"/>
                <w:lang w:val="zh-CN"/>
              </w:rPr>
              <w:t>肉鸭</w:t>
            </w:r>
          </w:p>
        </w:tc>
        <w:tc>
          <w:tcPr>
            <w:tcW w:w="2607" w:type="dxa"/>
            <w:vAlign w:val="center"/>
          </w:tcPr>
          <w:p>
            <w:pPr>
              <w:pStyle w:val="18"/>
              <w:rPr>
                <w:color w:val="auto"/>
                <w:lang w:val="zh-CN"/>
              </w:rPr>
            </w:pPr>
            <w:r>
              <w:rPr>
                <w:rFonts w:hint="eastAsia"/>
                <w:color w:val="auto"/>
                <w:lang w:val="zh-CN"/>
              </w:rPr>
              <w:t>年出栏10000只或存栏5000只以上</w:t>
            </w:r>
          </w:p>
        </w:tc>
        <w:tc>
          <w:tcPr>
            <w:tcW w:w="2551" w:type="dxa"/>
            <w:vAlign w:val="center"/>
          </w:tcPr>
          <w:p>
            <w:pPr>
              <w:pStyle w:val="18"/>
              <w:rPr>
                <w:color w:val="auto"/>
                <w:lang w:val="zh-CN"/>
              </w:rPr>
            </w:pPr>
            <w:r>
              <w:rPr>
                <w:rFonts w:hint="eastAsia"/>
                <w:color w:val="auto"/>
                <w:lang w:val="zh-CN"/>
              </w:rPr>
              <w:t>年出栏2000至9999只或存栏1000至4999只</w:t>
            </w:r>
          </w:p>
        </w:tc>
        <w:tc>
          <w:tcPr>
            <w:tcW w:w="2232" w:type="dxa"/>
            <w:vAlign w:val="center"/>
          </w:tcPr>
          <w:p>
            <w:pPr>
              <w:pStyle w:val="18"/>
              <w:rPr>
                <w:color w:val="auto"/>
                <w:lang w:val="zh-CN"/>
              </w:rPr>
            </w:pPr>
            <w:r>
              <w:rPr>
                <w:rFonts w:hint="eastAsia"/>
                <w:color w:val="auto"/>
                <w:lang w:val="zh-CN"/>
              </w:rPr>
              <w:t>年出栏小于2000只或存栏小于1000只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71" w:type="dxa"/>
            <w:vAlign w:val="center"/>
          </w:tcPr>
          <w:p>
            <w:pPr>
              <w:pStyle w:val="18"/>
              <w:rPr>
                <w:color w:val="auto"/>
                <w:lang w:val="zh-CN"/>
              </w:rPr>
            </w:pPr>
            <w:r>
              <w:rPr>
                <w:rFonts w:hint="eastAsia"/>
                <w:color w:val="auto"/>
                <w:lang w:val="zh-CN"/>
              </w:rPr>
              <w:t>5</w:t>
            </w:r>
          </w:p>
        </w:tc>
        <w:tc>
          <w:tcPr>
            <w:tcW w:w="1225" w:type="dxa"/>
            <w:vAlign w:val="center"/>
          </w:tcPr>
          <w:p>
            <w:pPr>
              <w:pStyle w:val="18"/>
              <w:rPr>
                <w:color w:val="auto"/>
                <w:lang w:val="zh-CN"/>
              </w:rPr>
            </w:pPr>
            <w:r>
              <w:rPr>
                <w:rFonts w:hint="eastAsia"/>
                <w:color w:val="auto"/>
                <w:lang w:val="zh-CN"/>
              </w:rPr>
              <w:t>肉鹅</w:t>
            </w:r>
          </w:p>
        </w:tc>
        <w:tc>
          <w:tcPr>
            <w:tcW w:w="2607" w:type="dxa"/>
            <w:vAlign w:val="center"/>
          </w:tcPr>
          <w:p>
            <w:pPr>
              <w:pStyle w:val="18"/>
              <w:rPr>
                <w:color w:val="auto"/>
                <w:lang w:val="zh-CN"/>
              </w:rPr>
            </w:pPr>
            <w:r>
              <w:rPr>
                <w:rFonts w:hint="eastAsia"/>
                <w:color w:val="auto"/>
                <w:lang w:val="zh-CN"/>
              </w:rPr>
              <w:t>年出栏5000只或存栏2500只以上</w:t>
            </w:r>
          </w:p>
        </w:tc>
        <w:tc>
          <w:tcPr>
            <w:tcW w:w="2551" w:type="dxa"/>
            <w:vAlign w:val="center"/>
          </w:tcPr>
          <w:p>
            <w:pPr>
              <w:pStyle w:val="18"/>
              <w:rPr>
                <w:color w:val="auto"/>
                <w:lang w:val="zh-CN"/>
              </w:rPr>
            </w:pPr>
            <w:r>
              <w:rPr>
                <w:rFonts w:hint="eastAsia"/>
                <w:color w:val="auto"/>
                <w:lang w:val="zh-CN"/>
              </w:rPr>
              <w:t>年出栏1000至4999只或存栏500至2499只</w:t>
            </w:r>
          </w:p>
        </w:tc>
        <w:tc>
          <w:tcPr>
            <w:tcW w:w="2232" w:type="dxa"/>
            <w:vAlign w:val="center"/>
          </w:tcPr>
          <w:p>
            <w:pPr>
              <w:pStyle w:val="18"/>
              <w:rPr>
                <w:color w:val="auto"/>
                <w:lang w:val="zh-CN"/>
              </w:rPr>
            </w:pPr>
            <w:r>
              <w:rPr>
                <w:rFonts w:hint="eastAsia"/>
                <w:color w:val="auto"/>
                <w:lang w:val="zh-CN"/>
              </w:rPr>
              <w:t>年出栏小于1000只或存栏小于500只</w:t>
            </w:r>
          </w:p>
        </w:tc>
      </w:tr>
    </w:tbl>
    <w:p>
      <w:pPr>
        <w:ind w:firstLine="480"/>
        <w:rPr>
          <w:color w:val="auto"/>
          <w:lang w:val="zh-CN"/>
        </w:rPr>
      </w:pPr>
    </w:p>
    <w:p>
      <w:pPr>
        <w:ind w:firstLine="480"/>
        <w:rPr>
          <w:color w:val="auto"/>
          <w:lang w:val="zh-CN"/>
        </w:rPr>
      </w:pPr>
      <w:r>
        <w:rPr>
          <w:rFonts w:hint="eastAsia"/>
          <w:color w:val="auto"/>
          <w:lang w:val="zh-CN"/>
        </w:rPr>
        <w:t>（4）畜禽养殖禁养区</w:t>
      </w:r>
    </w:p>
    <w:p>
      <w:pPr>
        <w:ind w:firstLine="480"/>
        <w:rPr>
          <w:color w:val="auto"/>
          <w:lang w:val="zh-CN"/>
        </w:rPr>
      </w:pPr>
      <w:r>
        <w:rPr>
          <w:rFonts w:hint="eastAsia"/>
          <w:color w:val="auto"/>
          <w:lang w:val="zh-CN"/>
        </w:rPr>
        <w:t>畜禽养殖禁养区（简称禁养区）指县级以上地方人民政府依法划定的禁止建设养殖场或禁止建设有污染物排放的养殖场的区域。</w:t>
      </w:r>
    </w:p>
    <w:p>
      <w:pPr>
        <w:ind w:firstLine="480"/>
        <w:rPr>
          <w:color w:val="auto"/>
          <w:lang w:val="zh-CN"/>
        </w:rPr>
        <w:sectPr>
          <w:footerReference r:id="rId10" w:type="default"/>
          <w:pgSz w:w="11906" w:h="16838"/>
          <w:pgMar w:top="1418" w:right="1418" w:bottom="1418" w:left="1418" w:header="851" w:footer="992" w:gutter="0"/>
          <w:pgNumType w:start="1"/>
          <w:cols w:space="425" w:num="1"/>
          <w:docGrid w:type="lines" w:linePitch="326" w:charSpace="0"/>
        </w:sectPr>
      </w:pPr>
    </w:p>
    <w:p>
      <w:pPr>
        <w:pStyle w:val="13"/>
        <w:spacing w:before="163" w:after="163"/>
        <w:rPr>
          <w:color w:val="auto"/>
        </w:rPr>
      </w:pPr>
      <w:bookmarkStart w:id="7" w:name="_Toc171516465"/>
      <w:r>
        <w:rPr>
          <w:color w:val="auto"/>
        </w:rPr>
        <w:t>区域概况</w:t>
      </w:r>
      <w:bookmarkEnd w:id="7"/>
    </w:p>
    <w:p>
      <w:pPr>
        <w:pStyle w:val="14"/>
        <w:spacing w:before="163" w:after="163"/>
        <w:rPr>
          <w:color w:val="auto"/>
        </w:rPr>
      </w:pPr>
      <w:bookmarkStart w:id="8" w:name="_Toc171516466"/>
      <w:r>
        <w:rPr>
          <w:color w:val="auto"/>
        </w:rPr>
        <w:t>地理位置</w:t>
      </w:r>
      <w:bookmarkEnd w:id="8"/>
    </w:p>
    <w:p>
      <w:pPr>
        <w:ind w:firstLine="480"/>
        <w:rPr>
          <w:color w:val="auto"/>
          <w:lang w:val="zh-CN"/>
        </w:rPr>
      </w:pPr>
      <w:r>
        <w:rPr>
          <w:rFonts w:hint="eastAsia"/>
          <w:color w:val="auto"/>
          <w:lang w:val="zh-CN"/>
        </w:rPr>
        <w:t>湛江经济技术开发区是1984年11月29日经国务院批准成立的全国首批14个沿海经济技术开发区之一，国批面积9.2平方公里。2006年6月经国家商务部、国土部、建设部批准，在东海岛扩区10平方公里。目前国批总面积19.2平方公里。2009年12月，经广东省人民政府批准，与省级东海岛经济开发试验区合并。合并后管辖面积378平方公里，下辖硇洲1个镇和5个街道，共16个居委会、35个村委会。建成区位于湛江市赤坎区和霞山区之间，是湛江的中心城区，东海岛为全国第五大岛屿、全省最大的岛屿。</w:t>
      </w:r>
    </w:p>
    <w:p>
      <w:pPr>
        <w:ind w:firstLine="480"/>
        <w:rPr>
          <w:color w:val="auto"/>
          <w:lang w:val="zh-CN"/>
        </w:rPr>
      </w:pPr>
      <w:r>
        <w:rPr>
          <w:rFonts w:hint="eastAsia"/>
          <w:color w:val="auto"/>
          <w:lang w:val="zh-CN"/>
        </w:rPr>
        <w:t>湛江背靠大西南，面向东南亚，处于珠三角连接东盟、大西南、北部湾等区域经济圈的战略枢纽位置，是连接中国西南与东部地区的结合部，是中国大西南经济腹地进出口的重要咽喉，也是我国大陆沿海通往非洲、中东、欧洲、东南亚、大洋洲海上航程最短的港口城市，处于承东启西、沟通南北、连接海内外的重要战略位置，是中国进军东盟各国市场最佳的“桥头堡”，也是东盟各国进入中国大陆市场最佳的“登陆点”。依靠湛江独特的区位优势，湛江经开区成为中国大陆最适宜外来投资者投资经营的地区之一,在泛珠三角经济合作圈、环北部湾经济圈、中国一东盟自由贸易区、亚太经济圈中处于重要的战略地位，是中国加入世贸、扩大开放、西部大开发、泛珠三角区域合作、广东省区域协调发展等重大战略实施的理想立足点和结合点，同时也成为中国“一带一路”战略的海上支撑点城区。目前，湛江经开区形成了以钢铁、石油化工、特种纸业、生物医药、机械电器、海洋高新等产业为支柱的外向型新兴经济区。其中宝钢湛江钢铁基地、中科炼化一体化项目、巴斯夫广东一体化基地等3个总投资超百亿美元的项目就落户在东海岛，成为广东提振粤西经济发展的龙头和广东新的经济增长极。</w:t>
      </w:r>
    </w:p>
    <w:p>
      <w:pPr>
        <w:pStyle w:val="14"/>
        <w:spacing w:before="163" w:after="163"/>
        <w:rPr>
          <w:color w:val="auto"/>
        </w:rPr>
      </w:pPr>
      <w:bookmarkStart w:id="9" w:name="_Toc171516467"/>
      <w:r>
        <w:rPr>
          <w:color w:val="auto"/>
        </w:rPr>
        <w:t>自然环境概况</w:t>
      </w:r>
      <w:bookmarkEnd w:id="9"/>
    </w:p>
    <w:p>
      <w:pPr>
        <w:pStyle w:val="15"/>
        <w:spacing w:before="163" w:after="163"/>
        <w:rPr>
          <w:color w:val="auto"/>
        </w:rPr>
      </w:pPr>
      <w:bookmarkStart w:id="10" w:name="_Toc171516468"/>
      <w:r>
        <w:rPr>
          <w:rFonts w:hint="eastAsia"/>
          <w:color w:val="auto"/>
        </w:rPr>
        <w:t>气候特征</w:t>
      </w:r>
      <w:bookmarkEnd w:id="10"/>
    </w:p>
    <w:p>
      <w:pPr>
        <w:ind w:firstLine="480"/>
        <w:rPr>
          <w:color w:val="auto"/>
          <w:lang w:val="zh-CN"/>
        </w:rPr>
      </w:pPr>
      <w:r>
        <w:rPr>
          <w:rFonts w:hint="eastAsia"/>
          <w:color w:val="auto"/>
          <w:lang w:val="zh-CN"/>
        </w:rPr>
        <w:t>湛江地处北回归线以南的低纬地区，属热带和亚热带季风气候，终年受海洋气候调节，冬无严寒，夏无酷暑。年平均气温23℃，年平均雨量1417-1802毫米。4-9月为多雨季节，8月雨量最多；10-3月雨量较少，常有旱情出现。夏秋之间热带风暴和台风较为频繁。年平均日照时数1817-2106 小时，年≥10℃积温8309-8519℃。低压、热带风暴、台风登陆影响频繁。</w:t>
      </w:r>
    </w:p>
    <w:p>
      <w:pPr>
        <w:pStyle w:val="15"/>
        <w:spacing w:before="163" w:after="163"/>
        <w:rPr>
          <w:color w:val="auto"/>
        </w:rPr>
      </w:pPr>
      <w:bookmarkStart w:id="11" w:name="_Toc171516469"/>
      <w:r>
        <w:rPr>
          <w:rFonts w:hint="eastAsia"/>
          <w:color w:val="auto"/>
        </w:rPr>
        <w:t>地形地貌</w:t>
      </w:r>
      <w:bookmarkEnd w:id="11"/>
    </w:p>
    <w:p>
      <w:pPr>
        <w:ind w:firstLine="480"/>
        <w:rPr>
          <w:color w:val="auto"/>
          <w:lang w:val="zh-CN"/>
        </w:rPr>
      </w:pPr>
      <w:r>
        <w:rPr>
          <w:rFonts w:hint="eastAsia"/>
          <w:color w:val="auto"/>
          <w:lang w:val="zh-CN"/>
        </w:rPr>
        <w:t>地势东高西低，东为玄武岩台地，西为海积平原，中间为冲洪积平原，沿东南海岸砂堤砂地分布广，高度大，呈垅状平行海岸线延伸。东端距海滩2km，有海拔111m高的龙水岭火山锥，面积500m×500m，为火山碎屑岩及少量玄武岩构成，地面起伏不平，向海倾斜。龙水岭又是天然航海陆标。</w:t>
      </w:r>
    </w:p>
    <w:p>
      <w:pPr>
        <w:ind w:firstLine="480"/>
        <w:rPr>
          <w:color w:val="auto"/>
          <w:lang w:val="zh-CN"/>
        </w:rPr>
      </w:pPr>
      <w:r>
        <w:rPr>
          <w:rFonts w:hint="eastAsia"/>
          <w:color w:val="auto"/>
          <w:lang w:val="zh-CN"/>
        </w:rPr>
        <w:t>区内地形地貌复杂，地面标高2～111m，区内主要发育有火山地形、剥蚀侵蚀地形、侵蚀堆积地形、海成地形等，现简述如下：</w:t>
      </w:r>
    </w:p>
    <w:p>
      <w:pPr>
        <w:ind w:firstLine="480"/>
        <w:rPr>
          <w:color w:val="auto"/>
          <w:lang w:val="zh-CN"/>
        </w:rPr>
      </w:pPr>
      <w:r>
        <w:rPr>
          <w:rFonts w:hint="eastAsia"/>
          <w:color w:val="auto"/>
          <w:lang w:val="zh-CN"/>
        </w:rPr>
        <w:t>1、火山地形：主要分布于东海岛龙水岭周边，包括玄武岩台地、火山锥等形态单元，主要由湖光岩组火山岩组成，标高20~111m，台地表层被火山岩风化残积红土层覆盖，发育有标高分别为20m、50m、100m三级玄武岩台地。火山锥有龙水岭，是由火山碎屑岩构成的碎屑锥，标高为111.1m。</w:t>
      </w:r>
    </w:p>
    <w:p>
      <w:pPr>
        <w:ind w:firstLine="480"/>
        <w:rPr>
          <w:color w:val="auto"/>
          <w:lang w:val="zh-CN"/>
        </w:rPr>
      </w:pPr>
      <w:r>
        <w:rPr>
          <w:rFonts w:hint="eastAsia"/>
          <w:color w:val="auto"/>
          <w:lang w:val="zh-CN"/>
        </w:rPr>
        <w:t>2、剥蚀侵蚀地形：由外营力改造而成的湛江组台地。湛江组台地主要分布于东山、东简街道范围内，台面高程一般10～40m。地表为湛江组粘土、粉质粘土，暴流和散流侵蚀切割强裂，冲沟发育，多沟谷，地形破碎，相对高差1~20m。</w:t>
      </w:r>
    </w:p>
    <w:p>
      <w:pPr>
        <w:ind w:firstLine="480"/>
        <w:rPr>
          <w:color w:val="auto"/>
          <w:lang w:val="zh-CN"/>
        </w:rPr>
      </w:pPr>
      <w:r>
        <w:rPr>
          <w:rFonts w:hint="eastAsia"/>
          <w:color w:val="auto"/>
          <w:lang w:val="zh-CN"/>
        </w:rPr>
        <w:t>3、堆积地形：主要为冲洪积平原、洪积平原等。冲洪积平原以北海组命名，分布于东海岛中部，表层岩性由北海组粉质粘土、粉土组成，一般标高15～45m，相对高差5～10m。洪积平原主要分布于龙腾-潭塘水村及石磊-南园一带呈树枝状或条带状分布，表层岩性由曲界组粘土、粉质粘土、粉土为主，局部为淤泥质粘土、粉细砂组成，一般标高10～40m。</w:t>
      </w:r>
    </w:p>
    <w:p>
      <w:pPr>
        <w:ind w:firstLine="480"/>
        <w:rPr>
          <w:color w:val="auto"/>
          <w:lang w:val="zh-CN"/>
        </w:rPr>
      </w:pPr>
      <w:r>
        <w:rPr>
          <w:rFonts w:hint="eastAsia"/>
          <w:color w:val="auto"/>
          <w:lang w:val="zh-CN"/>
        </w:rPr>
        <w:t>4、海成地形：由海积平原、海蚀阶地、海成风成砂堤砂地等形态单元组成。海积平原主要分布于滨海洼地、砂堤内侧，由海积淤泥质土、软粘土、粉细砂组成，标高一般小于10m，地形平坦。海蚀阶地主要分布在东海岛，发育有两级阶地，阶地由湛江组、北海组松散岩类组成，标高小于20m，地势低洼，地形平坦。砂堤砂地主要分布于东海岛东海岸，分布面积小，由细砂、粉砂组成，呈条带状平行海岸线分布，标高0~10m。</w:t>
      </w:r>
    </w:p>
    <w:p>
      <w:pPr>
        <w:ind w:firstLine="480"/>
        <w:rPr>
          <w:color w:val="auto"/>
          <w:lang w:val="zh-CN"/>
        </w:rPr>
      </w:pPr>
      <w:r>
        <w:rPr>
          <w:rFonts w:hint="eastAsia"/>
          <w:color w:val="auto"/>
          <w:lang w:val="zh-CN"/>
        </w:rPr>
        <w:t>区内土壤以玄武岩台地的风化残积红土及第四纪冲洪积平原的棕红、棕黄色的粉土、粉质黏土为主，沿海滨海地带则以灰黑色淤泥质黏土、粉土及粉细砂为主。玄武岩残积土肥沃，是农业种植的良好土壤，植被茂盛。北海组冲洪积及沿海砂堤砂地的砂性土比较贫脊，植被稀疏。</w:t>
      </w:r>
    </w:p>
    <w:p>
      <w:pPr>
        <w:pStyle w:val="15"/>
        <w:spacing w:before="163" w:after="163"/>
        <w:rPr>
          <w:color w:val="auto"/>
        </w:rPr>
      </w:pPr>
      <w:bookmarkStart w:id="12" w:name="_Toc171516470"/>
      <w:r>
        <w:rPr>
          <w:rFonts w:hint="eastAsia"/>
          <w:color w:val="auto"/>
        </w:rPr>
        <w:t>水文特征</w:t>
      </w:r>
      <w:bookmarkEnd w:id="12"/>
    </w:p>
    <w:p>
      <w:pPr>
        <w:ind w:firstLine="480"/>
        <w:rPr>
          <w:color w:val="auto"/>
          <w:lang w:val="zh-CN"/>
        </w:rPr>
      </w:pPr>
      <w:r>
        <w:rPr>
          <w:rFonts w:hint="eastAsia"/>
          <w:color w:val="auto"/>
          <w:lang w:val="zh-CN"/>
        </w:rPr>
        <w:t>湛江经济技术开发区建成区内共有地表水体5条，分别为菉塘河开发区段、文保河开发区段、椹塘渠开发区段、乐怡渠以及三号河渠。其中菉塘河发源于霞山区海头镇屋山村后塘岭，属于浅短河，全长6.2公里，流经乐华街道及泉庄街道。文保河发源于赤坎区三星后低洼地，全长3.2公里，流经乐华街道。</w:t>
      </w:r>
    </w:p>
    <w:p>
      <w:pPr>
        <w:ind w:firstLine="480"/>
        <w:rPr>
          <w:color w:val="auto"/>
          <w:lang w:val="zh-CN"/>
        </w:rPr>
      </w:pPr>
      <w:r>
        <w:rPr>
          <w:rFonts w:hint="eastAsia"/>
          <w:color w:val="auto"/>
          <w:lang w:val="zh-CN"/>
        </w:rPr>
        <w:t>经开区其余地表水体主要集中在东海岛，岛内主要河涌为龙腾河，其余以流向海岸滩涂的短小河涌为主。岛内共有17座水库，其中小（1）型水库4座，分别为红星水库、五一水库、官节僚水库、淡水塘水库。</w:t>
      </w:r>
    </w:p>
    <w:p>
      <w:pPr>
        <w:ind w:firstLine="480"/>
        <w:rPr>
          <w:color w:val="auto"/>
          <w:lang w:val="zh-CN"/>
        </w:rPr>
      </w:pPr>
      <w:r>
        <w:rPr>
          <w:rFonts w:hint="eastAsia"/>
          <w:color w:val="auto"/>
          <w:lang w:val="zh-CN"/>
        </w:rPr>
        <w:t>龙腾河发源于淡水塘水库、官节僚水库，在红星水库东侧入海，为东海岛现状最大的河流。龙腾河集雨面积26.2km</w:t>
      </w:r>
      <w:r>
        <w:rPr>
          <w:rFonts w:hint="eastAsia"/>
          <w:color w:val="auto"/>
          <w:vertAlign w:val="superscript"/>
          <w:lang w:val="zh-CN"/>
        </w:rPr>
        <w:t>2</w:t>
      </w:r>
      <w:r>
        <w:rPr>
          <w:rFonts w:hint="eastAsia"/>
          <w:color w:val="auto"/>
          <w:lang w:val="zh-CN"/>
        </w:rPr>
        <w:t>，河长13.46km，河宽20~100m，平均坡降0.1‰，现状断面不规则。</w:t>
      </w:r>
    </w:p>
    <w:p>
      <w:pPr>
        <w:ind w:firstLine="480"/>
        <w:rPr>
          <w:color w:val="auto"/>
          <w:lang w:val="zh-CN"/>
        </w:rPr>
      </w:pPr>
      <w:r>
        <w:rPr>
          <w:rFonts w:hint="eastAsia"/>
          <w:color w:val="auto"/>
          <w:lang w:val="zh-CN"/>
        </w:rPr>
        <w:t>龙腾河下游流入红星水库，红星水库兴建于1958 年，校核水位4.0m，相应库容690万m</w:t>
      </w:r>
      <w:r>
        <w:rPr>
          <w:rFonts w:hint="eastAsia"/>
          <w:color w:val="auto"/>
          <w:vertAlign w:val="superscript"/>
          <w:lang w:val="zh-CN"/>
        </w:rPr>
        <w:t>3</w:t>
      </w:r>
      <w:r>
        <w:rPr>
          <w:rFonts w:hint="eastAsia"/>
          <w:color w:val="auto"/>
          <w:lang w:val="zh-CN"/>
        </w:rPr>
        <w:t>；设计水位3.78m，相应库容626万m</w:t>
      </w:r>
      <w:r>
        <w:rPr>
          <w:rFonts w:hint="eastAsia"/>
          <w:color w:val="auto"/>
          <w:vertAlign w:val="superscript"/>
          <w:lang w:val="zh-CN"/>
        </w:rPr>
        <w:t>3</w:t>
      </w:r>
      <w:r>
        <w:rPr>
          <w:rFonts w:hint="eastAsia"/>
          <w:color w:val="auto"/>
          <w:lang w:val="zh-CN"/>
        </w:rPr>
        <w:t>；正常蓄水位3.7m，相应库容606万m</w:t>
      </w:r>
      <w:r>
        <w:rPr>
          <w:rFonts w:hint="eastAsia"/>
          <w:color w:val="auto"/>
          <w:vertAlign w:val="superscript"/>
          <w:lang w:val="zh-CN"/>
        </w:rPr>
        <w:t>3</w:t>
      </w:r>
      <w:r>
        <w:rPr>
          <w:rFonts w:hint="eastAsia"/>
          <w:color w:val="auto"/>
          <w:lang w:val="zh-CN"/>
        </w:rPr>
        <w:t>；死水位1.3m，相应库容83万m</w:t>
      </w:r>
      <w:r>
        <w:rPr>
          <w:rFonts w:hint="eastAsia"/>
          <w:color w:val="auto"/>
          <w:vertAlign w:val="superscript"/>
          <w:lang w:val="zh-CN"/>
        </w:rPr>
        <w:t>3</w:t>
      </w:r>
      <w:r>
        <w:rPr>
          <w:rFonts w:hint="eastAsia"/>
          <w:color w:val="auto"/>
          <w:lang w:val="zh-CN"/>
        </w:rPr>
        <w:t>。红星水库围坝为复式型坝体，坝顶高程为6.76~6.87m，坝顶宽5~5.5m。坝顶左右有戗台，戗台宽度5m，高程5.26~5.40m，迎水侧坡比1：0.3。</w:t>
      </w:r>
    </w:p>
    <w:p>
      <w:pPr>
        <w:pStyle w:val="15"/>
        <w:spacing w:before="163" w:after="163"/>
        <w:rPr>
          <w:color w:val="auto"/>
        </w:rPr>
      </w:pPr>
      <w:bookmarkStart w:id="13" w:name="_Toc171516471"/>
      <w:r>
        <w:rPr>
          <w:rFonts w:hint="eastAsia"/>
          <w:color w:val="auto"/>
        </w:rPr>
        <w:t>自然资源</w:t>
      </w:r>
      <w:bookmarkEnd w:id="13"/>
    </w:p>
    <w:p>
      <w:pPr>
        <w:ind w:firstLine="480"/>
        <w:rPr>
          <w:color w:val="auto"/>
          <w:lang w:val="zh-CN"/>
        </w:rPr>
      </w:pPr>
      <w:r>
        <w:rPr>
          <w:rFonts w:hint="eastAsia"/>
          <w:color w:val="auto"/>
          <w:lang w:val="zh-CN"/>
        </w:rPr>
        <w:t>（1）土地资源</w:t>
      </w:r>
    </w:p>
    <w:p>
      <w:pPr>
        <w:ind w:firstLine="480"/>
        <w:rPr>
          <w:color w:val="auto"/>
          <w:lang w:val="zh-CN"/>
        </w:rPr>
      </w:pPr>
      <w:r>
        <w:rPr>
          <w:rFonts w:hint="eastAsia"/>
          <w:color w:val="auto"/>
          <w:lang w:val="zh-CN"/>
        </w:rPr>
        <w:t>湛江经开区土地资源丰富，建成区、东海岛、硇洲岛、东头山岛和南屏岛等陆地面积共计505.64平方公里，其中滩涂面积115平方公里。东海岛面积286平方公里，最长处32公里，最宽处11公里，是湛江市最大的岛屿和</w:t>
      </w:r>
      <w:r>
        <w:rPr>
          <w:rFonts w:hint="eastAsia"/>
          <w:color w:val="auto"/>
          <w:lang w:val="zh-CN"/>
        </w:rPr>
        <w:t>全国第五大岛</w:t>
      </w:r>
      <w:r>
        <w:rPr>
          <w:rFonts w:hint="eastAsia"/>
          <w:color w:val="auto"/>
          <w:lang w:val="zh-CN"/>
        </w:rPr>
        <w:t>。岛内拥有10米等深线内的浅海滩涂面积50多万亩，约是陆上耕地面积的5倍（全区陆上耕地面积约11万亩），约占湛江的6.8%。</w:t>
      </w:r>
    </w:p>
    <w:p>
      <w:pPr>
        <w:ind w:firstLine="480"/>
        <w:rPr>
          <w:color w:val="auto"/>
          <w:lang w:val="zh-CN"/>
        </w:rPr>
      </w:pPr>
      <w:r>
        <w:rPr>
          <w:rFonts w:hint="eastAsia"/>
          <w:color w:val="auto"/>
          <w:lang w:val="zh-CN"/>
        </w:rPr>
        <w:t>东海岛属粘性土壤环境，土壤类型主要为砖红壤、园土和水稻土，浅海沉积交界处为沙壤土，适宜种植水稻、甘蔗、香蕉等农作物以及草丛、灌木丛、乔灌混交林、乔木林，同时岛内地貌形态为侵蚀——剥蚀——构造地貌类型，地质条件好，地基承压力高，能适应各项设施的建设要求。</w:t>
      </w:r>
    </w:p>
    <w:p>
      <w:pPr>
        <w:ind w:firstLine="480"/>
        <w:rPr>
          <w:color w:val="auto"/>
          <w:lang w:val="zh-CN"/>
        </w:rPr>
      </w:pPr>
      <w:r>
        <w:rPr>
          <w:rFonts w:hint="eastAsia"/>
          <w:color w:val="auto"/>
          <w:lang w:val="zh-CN"/>
        </w:rPr>
        <w:t>（2）水资源和生物资源</w:t>
      </w:r>
    </w:p>
    <w:p>
      <w:pPr>
        <w:ind w:firstLine="480"/>
        <w:rPr>
          <w:color w:val="auto"/>
          <w:lang w:val="zh-CN"/>
        </w:rPr>
      </w:pPr>
      <w:r>
        <w:rPr>
          <w:rFonts w:hint="eastAsia"/>
          <w:color w:val="auto"/>
          <w:lang w:val="zh-CN"/>
        </w:rPr>
        <w:t>湛江经开区主要由岛屿组成，水资源充足，水生物物种繁多。其中东海岛东端距海滩2公里，有海拔111米高的龙水岭火山锥，面积500米×500米，前海滩涂面积广阔，区域地下水和海洋生物资源丰富，有经济鱼类580种、贝类527种、虾类32种。东海岛地表水以季节性的台地浅沟短河涌为主，主要河涌为分布在岛东部的龙腾河，河长13.46km，河宽20~100m，流向自东向西，在岛的中部转北汇入红星水库。岛内共有17座水库，其中小（1）型水库4座，分别为红星水库、五一水库、官节僚水库、淡水塘水库。其中红星水库正常蓄水位3.7m，相应库容606万m</w:t>
      </w:r>
      <w:r>
        <w:rPr>
          <w:rFonts w:hint="eastAsia"/>
          <w:color w:val="auto"/>
          <w:vertAlign w:val="superscript"/>
          <w:lang w:val="zh-CN"/>
        </w:rPr>
        <w:t>3</w:t>
      </w:r>
      <w:r>
        <w:rPr>
          <w:rFonts w:hint="eastAsia"/>
          <w:color w:val="auto"/>
          <w:lang w:val="zh-CN"/>
        </w:rPr>
        <w:t>。东海岛地下水可开采量为每年1.02亿立方米，其中潜水为4100万立方米/年，承压水为6181万立方米/年。经开区内丰富的水资源储备，为滨海旅游业、都市农业的发展打下了坚实基础。</w:t>
      </w:r>
    </w:p>
    <w:p>
      <w:pPr>
        <w:ind w:firstLine="480"/>
        <w:rPr>
          <w:color w:val="auto"/>
          <w:lang w:val="zh-CN"/>
        </w:rPr>
      </w:pPr>
      <w:r>
        <w:rPr>
          <w:rFonts w:hint="eastAsia"/>
          <w:color w:val="auto"/>
          <w:lang w:val="zh-CN"/>
        </w:rPr>
        <w:t>（3）岸线资源</w:t>
      </w:r>
    </w:p>
    <w:p>
      <w:pPr>
        <w:ind w:firstLine="480"/>
        <w:rPr>
          <w:color w:val="auto"/>
          <w:lang w:val="zh-CN"/>
        </w:rPr>
      </w:pPr>
      <w:r>
        <w:rPr>
          <w:rFonts w:hint="eastAsia"/>
          <w:color w:val="auto"/>
          <w:lang w:val="zh-CN"/>
        </w:rPr>
        <w:t>经开区东海岛新区四面环海，海区开阔，拥有被誉为南海“绿色长城”的长16公里、面积为5万亩的防护林带和28公里的中国第一长滩。包括东海岛（含东头山岛）港口岸线总长29.2千米。</w:t>
      </w:r>
    </w:p>
    <w:p>
      <w:pPr>
        <w:ind w:firstLine="480"/>
        <w:rPr>
          <w:color w:val="auto"/>
          <w:lang w:val="zh-CN"/>
        </w:rPr>
      </w:pPr>
      <w:r>
        <w:rPr>
          <w:rFonts w:hint="eastAsia"/>
          <w:color w:val="auto"/>
          <w:lang w:val="zh-CN"/>
        </w:rPr>
        <w:t>东海岛北部：自然岸线自东北大堤东南侧起，止于湛江湾口，长度为28千米，包括文参村岸线、调文村岸线、红星水库岸线、龙腾岸线、蔚律港湾岸线、蕃昌村岸线、崩塘村岸线及湛江湾口岸线段。此岸线段水陆域宽阔，龙腾至蔚律段岸线距主航道较近，水深 26-40米，是湛江港湾内发展大型临港工业、重化工业，建设大型码头不可多得的深水岸线。</w:t>
      </w:r>
    </w:p>
    <w:p>
      <w:pPr>
        <w:ind w:firstLine="480"/>
        <w:rPr>
          <w:color w:val="auto"/>
          <w:lang w:val="zh-CN"/>
        </w:rPr>
      </w:pPr>
      <w:r>
        <w:rPr>
          <w:rFonts w:hint="eastAsia"/>
          <w:color w:val="auto"/>
          <w:lang w:val="zh-CN"/>
        </w:rPr>
        <w:t>东头山岛：环岛自然岸线长7.6 千米，东侧岸线水深较大，水域宽阔，靠近深水航道，是建设大型码头的良好岸线，规划东岸线、南岸线及北岸线共长约5.73千米作为液体散货码头岸线。</w:t>
      </w:r>
    </w:p>
    <w:p>
      <w:pPr>
        <w:pStyle w:val="14"/>
        <w:spacing w:before="163" w:after="163"/>
        <w:rPr>
          <w:color w:val="auto"/>
        </w:rPr>
      </w:pPr>
      <w:bookmarkStart w:id="14" w:name="_Toc171516472"/>
      <w:r>
        <w:rPr>
          <w:color w:val="auto"/>
        </w:rPr>
        <w:t>社会经济概况</w:t>
      </w:r>
      <w:bookmarkEnd w:id="14"/>
    </w:p>
    <w:p>
      <w:pPr>
        <w:ind w:firstLine="480"/>
        <w:rPr>
          <w:color w:val="auto"/>
        </w:rPr>
      </w:pPr>
      <w:r>
        <w:rPr>
          <w:color w:val="auto"/>
        </w:rPr>
        <w:t>根据</w:t>
      </w:r>
      <w:r>
        <w:rPr>
          <w:rFonts w:hint="eastAsia"/>
          <w:color w:val="auto"/>
        </w:rPr>
        <w:t>2023年湛江国民经济和社会发展统计公报，2023年湛江实现地区生产总值（初步核算数）3793.59亿元，比上年增长3.0%。其中,第一产业增加值706.91亿元，增长3.8%，对地区生产总值增长的贡献率为25.5%；第二产业增加值1454.62亿元，增长0.5%，对地区生产总值增长的贡献率为6.1%；第三产业增加值1632.06亿元，增长4.5%，对地区生产总值增长的贡献率为68.4%。三次产业结构比重为18.6：38.3：43.1。人均地区生产总值53757元（按年平均汇率折算为7629美元），增长2.6%。</w:t>
      </w:r>
    </w:p>
    <w:p>
      <w:pPr>
        <w:ind w:firstLine="480"/>
        <w:rPr>
          <w:color w:val="auto"/>
        </w:rPr>
      </w:pPr>
      <w:r>
        <w:rPr>
          <w:rFonts w:hint="eastAsia"/>
          <w:color w:val="auto"/>
        </w:rPr>
        <w:t>2023年年末，全市常住人口707.84万人，比上年末增加4.30万人，其中，城镇常住人口340.27万人，占常住人口比重（常住人口城镇化率）48.07%，比上年末提高0.76个百分点。全年出生人口7.42万人，出生率10.51‰；死亡人口3.54万人，死亡率5.02‰；自然增长人口3.88万人，自然增长率5.49‰。</w:t>
      </w:r>
    </w:p>
    <w:p>
      <w:pPr>
        <w:ind w:firstLine="480"/>
        <w:rPr>
          <w:color w:val="auto"/>
        </w:rPr>
      </w:pPr>
      <w:r>
        <w:rPr>
          <w:rFonts w:hint="eastAsia"/>
          <w:color w:val="auto"/>
        </w:rPr>
        <w:t>全年城镇新增就业6.35万人，城镇失业人员再就业3.45万人。</w:t>
      </w:r>
    </w:p>
    <w:p>
      <w:pPr>
        <w:ind w:firstLine="480"/>
        <w:rPr>
          <w:color w:val="auto"/>
        </w:rPr>
      </w:pPr>
      <w:r>
        <w:rPr>
          <w:rFonts w:hint="eastAsia"/>
          <w:color w:val="auto"/>
        </w:rPr>
        <w:t>全年粮食作物播种面积425.11万亩，比上年下降0.2%；糖蔗播种面积167.48万亩，下降3.2%；花生播种面积98.25万亩，增长1.5%；蔬菜播种面积249.93万亩，增长2.2%。</w:t>
      </w:r>
    </w:p>
    <w:p>
      <w:pPr>
        <w:ind w:firstLine="480"/>
        <w:rPr>
          <w:color w:val="auto"/>
        </w:rPr>
      </w:pPr>
      <w:r>
        <w:rPr>
          <w:rFonts w:hint="eastAsia"/>
          <w:color w:val="auto"/>
        </w:rPr>
        <w:t>全年粮食产量151.90万吨，比上年下降1.8%；糖蔗产量996.24万吨，下降1.7%；蔬菜产量468.90万吨，增长3.3%；园林水果总产量340.93万吨，增长3.6%。</w:t>
      </w:r>
    </w:p>
    <w:p>
      <w:pPr>
        <w:ind w:firstLine="480"/>
        <w:rPr>
          <w:color w:val="auto"/>
        </w:rPr>
      </w:pPr>
      <w:r>
        <w:rPr>
          <w:rFonts w:hint="eastAsia"/>
          <w:color w:val="auto"/>
        </w:rPr>
        <w:t>全年猪牛羊禽肉产量50.12万吨，比上年增长6.1%。其中，猪肉产量34.81万吨，增长8.3%；牛肉产量0.85万吨，下降2.7%；羊肉产量0.36万吨，下降0.6%；禽肉产量14.10万吨，增长1.6%。年末生猪存栏284.74万头，增长1.2%；生猪出栏449.96万头，增长12.5%。</w:t>
      </w:r>
    </w:p>
    <w:p>
      <w:pPr>
        <w:ind w:firstLine="480"/>
        <w:rPr>
          <w:color w:val="auto"/>
        </w:rPr>
      </w:pPr>
      <w:r>
        <w:rPr>
          <w:rFonts w:hint="eastAsia"/>
          <w:color w:val="auto"/>
        </w:rPr>
        <w:t>全年水产品产量128.49万吨，比上年增长5.1%。其中，海水产品109.96万吨，增长5.9%；淡水产品18.54万吨，增长0.8%。</w:t>
      </w:r>
    </w:p>
    <w:p>
      <w:pPr>
        <w:ind w:firstLine="480"/>
        <w:rPr>
          <w:color w:val="auto"/>
        </w:rPr>
      </w:pPr>
      <w:r>
        <w:rPr>
          <w:rFonts w:hint="eastAsia"/>
          <w:color w:val="auto"/>
        </w:rPr>
        <w:t>全年全市地方一般公共预算收入155.61亿元，比上年增长5.9%（自然口径）；其中，税收收入90.37亿元，增长8.6%（自然口径）。全年一般公共预算支出543.33亿元，增长4.1%。其中，教育支出127.20亿元，增长0.1%；社会保障和就业支出117.90亿元，增长2.7%；卫生健康支出71.47亿元，下降0.3%；一般公共服务支出54.17亿元，增长9.2%；农林水事务支出42.18亿元，下降9.9%。民生类支出434.69亿元，增长2.2%，占一般公共预算支出比重80.0%。</w:t>
      </w:r>
    </w:p>
    <w:p>
      <w:pPr>
        <w:pStyle w:val="14"/>
        <w:spacing w:before="163" w:after="163"/>
        <w:rPr>
          <w:color w:val="auto"/>
        </w:rPr>
      </w:pPr>
      <w:bookmarkStart w:id="15" w:name="_Toc171516473"/>
      <w:r>
        <w:rPr>
          <w:rFonts w:hint="eastAsia"/>
          <w:color w:val="auto"/>
        </w:rPr>
        <w:t>区域环境状况</w:t>
      </w:r>
      <w:bookmarkEnd w:id="15"/>
    </w:p>
    <w:p>
      <w:pPr>
        <w:ind w:firstLine="480"/>
        <w:rPr>
          <w:color w:val="auto"/>
          <w:lang w:val="zh-CN"/>
        </w:rPr>
      </w:pPr>
      <w:r>
        <w:rPr>
          <w:rFonts w:hint="eastAsia"/>
          <w:color w:val="auto"/>
          <w:lang w:val="zh-CN"/>
        </w:rPr>
        <w:t>（1）环境空气功能区划</w:t>
      </w:r>
    </w:p>
    <w:p>
      <w:pPr>
        <w:ind w:firstLine="480"/>
        <w:rPr>
          <w:color w:val="auto"/>
          <w:lang w:val="zh-CN"/>
        </w:rPr>
      </w:pPr>
      <w:r>
        <w:rPr>
          <w:rFonts w:hint="eastAsia"/>
          <w:color w:val="auto"/>
          <w:lang w:val="zh-CN"/>
        </w:rPr>
        <w:t>根据《关于印发湛江市区环境空气质量功能区划的通知》（湛环[2011]457号），湛江经济技术区所辖范围属于二类区，执行《环境空气质量标准》（GB3095-2012）及2018修改单中二级标准。</w:t>
      </w:r>
    </w:p>
    <w:p>
      <w:pPr>
        <w:ind w:firstLine="480"/>
        <w:rPr>
          <w:color w:val="auto"/>
          <w:lang w:val="zh-CN"/>
        </w:rPr>
      </w:pPr>
      <w:r>
        <w:rPr>
          <w:rFonts w:hint="eastAsia"/>
          <w:color w:val="auto"/>
          <w:lang w:val="zh-CN"/>
        </w:rPr>
        <w:t>（2）地表水功能区划</w:t>
      </w:r>
    </w:p>
    <w:p>
      <w:pPr>
        <w:ind w:firstLine="480"/>
        <w:rPr>
          <w:color w:val="auto"/>
          <w:lang w:val="zh-CN"/>
        </w:rPr>
      </w:pPr>
      <w:r>
        <w:rPr>
          <w:color w:val="auto"/>
          <w:lang w:val="zh-CN"/>
        </w:rPr>
        <w:t>湛江经济技术开发区存在的地表水体主要集中在东海岛</w:t>
      </w:r>
      <w:r>
        <w:rPr>
          <w:rFonts w:hint="eastAsia"/>
          <w:color w:val="auto"/>
          <w:lang w:val="zh-CN"/>
        </w:rPr>
        <w:t>，</w:t>
      </w:r>
      <w:r>
        <w:rPr>
          <w:color w:val="auto"/>
          <w:lang w:val="zh-CN"/>
        </w:rPr>
        <w:t>主要河涌为龙腾河</w:t>
      </w:r>
      <w:r>
        <w:rPr>
          <w:rFonts w:hint="eastAsia"/>
          <w:color w:val="auto"/>
          <w:lang w:val="zh-CN"/>
        </w:rPr>
        <w:t>，</w:t>
      </w:r>
      <w:r>
        <w:rPr>
          <w:color w:val="auto"/>
          <w:lang w:val="zh-CN"/>
        </w:rPr>
        <w:t>主要的水库为红星水库</w:t>
      </w:r>
      <w:r>
        <w:rPr>
          <w:rFonts w:hint="eastAsia"/>
          <w:color w:val="auto"/>
          <w:lang w:val="zh-CN"/>
        </w:rPr>
        <w:t>、</w:t>
      </w:r>
      <w:r>
        <w:rPr>
          <w:color w:val="auto"/>
          <w:lang w:val="zh-CN"/>
        </w:rPr>
        <w:t>五一水库</w:t>
      </w:r>
      <w:r>
        <w:rPr>
          <w:rFonts w:hint="eastAsia"/>
          <w:color w:val="auto"/>
          <w:lang w:val="zh-CN"/>
        </w:rPr>
        <w:t>。</w:t>
      </w:r>
    </w:p>
    <w:p>
      <w:pPr>
        <w:ind w:firstLine="480"/>
        <w:rPr>
          <w:color w:val="auto"/>
          <w:lang/>
        </w:rPr>
      </w:pPr>
      <w:r>
        <w:rPr>
          <w:color w:val="auto"/>
          <w:lang/>
        </w:rPr>
        <w:t>根据已审批通过的《广东省湛江市东海岛新城规划环境影响报告书》（环境保护部华南环境科学研究所，2013.1），龙腾河水质目标参照执行《地表水环境质量标准》（GB3838-2002）</w:t>
      </w:r>
      <w:r>
        <w:rPr>
          <w:rFonts w:cs="微软雅黑"/>
          <w:color w:val="auto"/>
          <w:lang/>
        </w:rPr>
        <w:t>Ⅳ</w:t>
      </w:r>
      <w:r>
        <w:rPr>
          <w:color w:val="auto"/>
          <w:lang/>
        </w:rPr>
        <w:t>类标准。</w:t>
      </w:r>
    </w:p>
    <w:p>
      <w:pPr>
        <w:ind w:firstLine="480"/>
        <w:rPr>
          <w:color w:val="auto"/>
          <w:lang w:val="zh-CN"/>
        </w:rPr>
      </w:pPr>
      <w:r>
        <w:rPr>
          <w:color w:val="auto"/>
          <w:lang/>
        </w:rPr>
        <w:t>根据《广东省地表水环境功能区划》（粤环[2011]14号），红星水库为</w:t>
      </w:r>
      <w:r>
        <w:rPr>
          <w:color w:val="auto"/>
          <w:lang/>
        </w:rPr>
        <w:fldChar w:fldCharType="begin"/>
      </w:r>
      <w:r>
        <w:rPr>
          <w:color w:val="auto"/>
          <w:lang/>
        </w:rPr>
        <w:instrText xml:space="preserve"> = 3 \* ROMAN </w:instrText>
      </w:r>
      <w:r>
        <w:rPr>
          <w:color w:val="auto"/>
          <w:lang/>
        </w:rPr>
        <w:fldChar w:fldCharType="separate"/>
      </w:r>
      <w:r>
        <w:rPr>
          <w:color w:val="auto"/>
          <w:lang/>
        </w:rPr>
        <w:t>III</w:t>
      </w:r>
      <w:r>
        <w:rPr>
          <w:color w:val="auto"/>
          <w:lang/>
        </w:rPr>
        <w:fldChar w:fldCharType="end"/>
      </w:r>
      <w:r>
        <w:rPr>
          <w:color w:val="auto"/>
          <w:lang/>
        </w:rPr>
        <w:t>类水体，水库功能为</w:t>
      </w:r>
      <w:r>
        <w:rPr>
          <w:color w:val="auto"/>
        </w:rPr>
        <w:t>“</w:t>
      </w:r>
      <w:r>
        <w:rPr>
          <w:rFonts w:hint="eastAsia"/>
          <w:color w:val="auto"/>
          <w:lang w:val="en-US" w:eastAsia="zh-CN"/>
        </w:rPr>
        <w:t>工业农业用水</w:t>
      </w:r>
      <w:r>
        <w:rPr>
          <w:color w:val="auto"/>
        </w:rPr>
        <w:t>”</w:t>
      </w:r>
      <w:r>
        <w:rPr>
          <w:color w:val="auto"/>
          <w:lang/>
        </w:rPr>
        <w:t>，水质目标执行《地表水环境质量标准》（GB3838-2002）</w:t>
      </w:r>
      <w:r>
        <w:rPr>
          <w:color w:val="auto"/>
          <w:lang/>
        </w:rPr>
        <w:fldChar w:fldCharType="begin"/>
      </w:r>
      <w:r>
        <w:rPr>
          <w:color w:val="auto"/>
          <w:lang/>
        </w:rPr>
        <w:instrText xml:space="preserve"> = 3 \* ROMAN </w:instrText>
      </w:r>
      <w:r>
        <w:rPr>
          <w:color w:val="auto"/>
          <w:lang/>
        </w:rPr>
        <w:fldChar w:fldCharType="separate"/>
      </w:r>
      <w:r>
        <w:rPr>
          <w:color w:val="auto"/>
          <w:lang/>
        </w:rPr>
        <w:t>III</w:t>
      </w:r>
      <w:r>
        <w:rPr>
          <w:color w:val="auto"/>
          <w:lang/>
        </w:rPr>
        <w:fldChar w:fldCharType="end"/>
      </w:r>
      <w:r>
        <w:rPr>
          <w:color w:val="auto"/>
          <w:lang/>
        </w:rPr>
        <w:t>类标准；根据《广东省人民政府关于调整湛江市地表水饮用水源保护区的批复》（粤府函[2014]41号）》、《广东省人民政府关于印发部分市乡镇集中式饮用水源保护区划分方案的通知》（粤府函[2015]17号）及《广东省人民政府关于调整湛江市部分饮用水水源保护区的批复》（粤府函〔2019〕275号）</w:t>
      </w:r>
      <w:r>
        <w:rPr>
          <w:rFonts w:hint="eastAsia"/>
          <w:color w:val="auto"/>
          <w:lang/>
        </w:rPr>
        <w:t>，</w:t>
      </w:r>
      <w:r>
        <w:rPr>
          <w:color w:val="auto"/>
          <w:lang/>
        </w:rPr>
        <w:t>五一水库为饮用水水源保护区</w:t>
      </w:r>
      <w:r>
        <w:rPr>
          <w:rFonts w:hint="eastAsia"/>
          <w:color w:val="auto"/>
          <w:lang/>
        </w:rPr>
        <w:t>，</w:t>
      </w:r>
      <w:r>
        <w:rPr>
          <w:color w:val="auto"/>
          <w:lang/>
        </w:rPr>
        <w:t>执行《地表水环境质量标准》（GB3838-2002）</w:t>
      </w:r>
      <w:r>
        <w:rPr>
          <w:rFonts w:cs="Times New Roman"/>
          <w:color w:val="auto"/>
          <w:lang/>
        </w:rPr>
        <w:t>Ⅱ</w:t>
      </w:r>
      <w:r>
        <w:rPr>
          <w:color w:val="auto"/>
          <w:lang/>
        </w:rPr>
        <w:t>类标准</w:t>
      </w:r>
      <w:r>
        <w:rPr>
          <w:rFonts w:hint="eastAsia"/>
          <w:color w:val="auto"/>
          <w:lang/>
        </w:rPr>
        <w:t>。</w:t>
      </w:r>
    </w:p>
    <w:p>
      <w:pPr>
        <w:ind w:firstLine="480"/>
        <w:rPr>
          <w:color w:val="auto"/>
          <w:lang w:val="zh-CN"/>
        </w:rPr>
        <w:sectPr>
          <w:pgSz w:w="11906" w:h="16838"/>
          <w:pgMar w:top="1418" w:right="1418" w:bottom="1418" w:left="1418" w:header="851" w:footer="992" w:gutter="0"/>
          <w:cols w:space="425" w:num="1"/>
          <w:docGrid w:type="lines" w:linePitch="326" w:charSpace="0"/>
        </w:sectPr>
      </w:pPr>
    </w:p>
    <w:p>
      <w:pPr>
        <w:pStyle w:val="13"/>
        <w:spacing w:before="163" w:after="163"/>
        <w:rPr>
          <w:color w:val="auto"/>
        </w:rPr>
      </w:pPr>
      <w:bookmarkStart w:id="16" w:name="_Toc171516474"/>
      <w:r>
        <w:rPr>
          <w:color w:val="auto"/>
        </w:rPr>
        <w:t>原禁养区划定情况回顾分析</w:t>
      </w:r>
      <w:bookmarkEnd w:id="16"/>
    </w:p>
    <w:p>
      <w:pPr>
        <w:ind w:firstLine="480"/>
        <w:rPr>
          <w:rStyle w:val="21"/>
          <w:rFonts w:hint="default" w:ascii="Times New Roman" w:hAnsi="Times New Roman" w:cs="Times New Roman"/>
          <w:color w:val="auto"/>
        </w:rPr>
      </w:pPr>
      <w:r>
        <w:rPr>
          <w:color w:val="auto"/>
          <w:lang w:val="zh-CN"/>
        </w:rPr>
        <w:t>根据</w:t>
      </w:r>
      <w:r>
        <w:rPr>
          <w:rStyle w:val="21"/>
          <w:rFonts w:hint="default" w:ascii="Times New Roman" w:hAnsi="Times New Roman" w:cs="Times New Roman"/>
          <w:color w:val="auto"/>
        </w:rPr>
        <w:t>《湛江市人民政府关于在湛江市区划定畜禽养殖禁养区限养区适养区的通告》（湛府通〔2013〕48号），在湛江市划定畜禽养殖禁养区、限养区、适养区。摘录出湛江经济技术开发区畜禽养殖禁养区划分范围为：</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（1）禁养区：</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①城镇居民区、文化教育科学研究区等人口集中区</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泉庄街道办事处、乐华街道办事处管辖的区域；东海岛的沿东海跨海大桥、规划中的湖东大道、雷东大道向东延伸到龙海天的北部区域。</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②饮用水源保护区</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五一水库饮用水源保护区。水域为水库全部水域，陆域为水库集雨区范围内的全部陆域。</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③风景名胜区</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东海岛龙海天风景区规划区范围内。</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（2）限养区划定范围：</w:t>
      </w:r>
    </w:p>
    <w:p>
      <w:pPr>
        <w:ind w:firstLine="480"/>
        <w:rPr>
          <w:rFonts w:eastAsia="宋体" w:cs="Times New Roman"/>
          <w:color w:val="auto"/>
          <w:szCs w:val="24"/>
        </w:rPr>
      </w:pPr>
      <w:r>
        <w:rPr>
          <w:rStyle w:val="21"/>
          <w:rFonts w:hint="default" w:ascii="Times New Roman" w:hAnsi="Times New Roman" w:cs="Times New Roman"/>
          <w:color w:val="auto"/>
        </w:rPr>
        <w:t>五一水库集雨区内除禁养区以外的区域；其余禁养区外延1000米的区域。</w:t>
      </w:r>
    </w:p>
    <w:p>
      <w:pPr>
        <w:ind w:firstLine="480"/>
        <w:rPr>
          <w:color w:val="auto"/>
          <w:lang w:val="zh-CN"/>
        </w:rPr>
      </w:pPr>
      <w:r>
        <w:rPr>
          <w:rFonts w:hint="eastAsia"/>
          <w:color w:val="auto"/>
        </w:rPr>
        <w:t>原</w:t>
      </w:r>
      <w:r>
        <w:rPr>
          <w:color w:val="auto"/>
          <w:lang w:val="zh-CN"/>
        </w:rPr>
        <w:t>湛江经济技术开发区畜禽养殖禁养区分布情况见下图所示</w:t>
      </w:r>
      <w:r>
        <w:rPr>
          <w:rFonts w:hint="eastAsia"/>
          <w:color w:val="auto"/>
          <w:lang w:val="zh-CN"/>
        </w:rPr>
        <w:t>：</w:t>
      </w:r>
    </w:p>
    <w:p>
      <w:pPr>
        <w:ind w:firstLine="0" w:firstLineChars="0"/>
        <w:rPr>
          <w:color w:val="auto"/>
          <w:lang w:val="zh-CN"/>
        </w:rPr>
      </w:pPr>
      <w:r>
        <w:rPr>
          <w:rFonts w:ascii="Times New Roman" w:hAnsi="Times New Roman" w:eastAsia="宋体" w:cs="黑体"/>
          <w:color w:val="auto"/>
          <w:kern w:val="2"/>
          <w:sz w:val="24"/>
          <w:szCs w:val="22"/>
          <w:lang w:val="en-US" w:eastAsia="zh-CN" w:bidi="ar-SA"/>
        </w:rPr>
        <w:pict>
          <v:shape id="图片 1" o:spid="_x0000_s1026" type="#_x0000_t75" style="position:absolute;left:0;margin-left:14.05pt;margin-top:6.8pt;height:46.75pt;width:19.85pt;rotation:0f;z-index:251658240;" o:ole="f" fillcolor="#FFFFFF" filled="f" o:preferrelative="t" stroked="f" coordorigin="0,0" coordsize="21600,21600">
            <v:fill on="f" color2="#FFFFFF" focus="0%"/>
            <v:imagedata gain="65536f" blacklevel="0f" gamma="0" o:title="" r:id="rId12"/>
            <o:lock v:ext="edit" position="f" selection="f" grouping="f" rotation="f" cropping="f" text="f" aspectratio="t"/>
          </v:shape>
        </w:pict>
      </w:r>
      <w:r>
        <w:rPr>
          <w:rFonts w:ascii="Times New Roman" w:hAnsi="Times New Roman" w:eastAsia="宋体" w:cs="黑体"/>
          <w:color w:val="auto"/>
          <w:kern w:val="2"/>
          <w:sz w:val="24"/>
          <w:szCs w:val="22"/>
          <w:lang w:val="en-US" w:eastAsia="zh-CN" w:bidi="ar-SA"/>
        </w:rPr>
        <w:pict>
          <v:shape id="图片 2" o:spid="_x0000_s1027" type="#_x0000_t75" style="height:352.65pt;width:454.7pt;rotation:0f;" o:ole="f" fillcolor="#FFFFFF" filled="f" o:preferrelative="t" stroked="f" coordorigin="0,0" coordsize="21600,21600">
            <v:fill on="f" color2="#FFFFFF" focus="0%"/>
            <v:imagedata gain="65536f" blacklevel="0f" gamma="0" o:title="" r:id="rId13"/>
            <o:lock v:ext="edit" position="f" selection="f" grouping="f" rotation="f" cropping="f" text="f" aspectratio="t"/>
            <w10:wrap type="none"/>
            <w10:anchorlock/>
          </v:shape>
        </w:pict>
      </w:r>
    </w:p>
    <w:p>
      <w:pPr>
        <w:pStyle w:val="17"/>
        <w:rPr>
          <w:color w:val="auto"/>
          <w:lang w:val="zh-CN"/>
        </w:rPr>
      </w:pPr>
      <w:r>
        <w:rPr>
          <w:rFonts w:hint="eastAsia"/>
          <w:color w:val="auto"/>
          <w:lang w:val="zh-CN"/>
        </w:rPr>
        <w:t>图1    湛江经济技术开发区原禁养区划定范围图</w:t>
      </w:r>
    </w:p>
    <w:p>
      <w:pPr>
        <w:ind w:firstLine="480"/>
        <w:rPr>
          <w:rStyle w:val="21"/>
          <w:rFonts w:hint="default" w:ascii="Times New Roman" w:hAnsi="Times New Roman" w:cs="Times New Roman"/>
          <w:color w:val="auto"/>
        </w:rPr>
      </w:pPr>
    </w:p>
    <w:p>
      <w:pPr>
        <w:ind w:firstLine="480"/>
        <w:rPr>
          <w:rStyle w:val="21"/>
          <w:rFonts w:hint="default" w:ascii="Times New Roman" w:hAnsi="Times New Roman" w:cs="Times New Roman"/>
          <w:color w:val="auto"/>
        </w:rPr>
        <w:sectPr>
          <w:pgSz w:w="11906" w:h="16838"/>
          <w:pgMar w:top="1418" w:right="1418" w:bottom="1418" w:left="1418" w:header="851" w:footer="992" w:gutter="0"/>
          <w:cols w:space="425" w:num="1"/>
          <w:docGrid w:type="lines" w:linePitch="326" w:charSpace="0"/>
        </w:sectPr>
      </w:pPr>
    </w:p>
    <w:p>
      <w:pPr>
        <w:pStyle w:val="13"/>
        <w:spacing w:before="163" w:after="163"/>
        <w:rPr>
          <w:color w:val="auto"/>
        </w:rPr>
      </w:pPr>
      <w:bookmarkStart w:id="17" w:name="_Toc171516475"/>
      <w:r>
        <w:rPr>
          <w:color w:val="auto"/>
        </w:rPr>
        <w:t>畜禽养殖禁养区划定方案调整情况</w:t>
      </w:r>
      <w:bookmarkEnd w:id="17"/>
    </w:p>
    <w:p>
      <w:pPr>
        <w:pStyle w:val="14"/>
        <w:spacing w:before="163" w:after="163"/>
        <w:rPr>
          <w:color w:val="auto"/>
        </w:rPr>
      </w:pPr>
      <w:bookmarkStart w:id="18" w:name="_Toc171516476"/>
      <w:r>
        <w:rPr>
          <w:rFonts w:hint="eastAsia"/>
          <w:color w:val="auto"/>
        </w:rPr>
        <w:t>划分依据</w:t>
      </w:r>
      <w:bookmarkEnd w:id="18"/>
    </w:p>
    <w:p>
      <w:pPr>
        <w:pStyle w:val="15"/>
        <w:spacing w:before="163" w:after="163"/>
        <w:rPr>
          <w:color w:val="auto"/>
        </w:rPr>
      </w:pPr>
      <w:bookmarkStart w:id="19" w:name="_Toc171516477"/>
      <w:r>
        <w:rPr>
          <w:rFonts w:hint="eastAsia"/>
          <w:color w:val="auto"/>
        </w:rPr>
        <w:t>国家法律法规依据</w:t>
      </w:r>
      <w:bookmarkEnd w:id="19"/>
    </w:p>
    <w:p>
      <w:pPr>
        <w:ind w:firstLine="480"/>
        <w:rPr>
          <w:color w:val="auto"/>
          <w:lang w:val="zh-CN"/>
        </w:rPr>
      </w:pPr>
      <w:r>
        <w:rPr>
          <w:rFonts w:hint="eastAsia"/>
          <w:color w:val="auto"/>
          <w:lang w:val="zh-CN"/>
        </w:rPr>
        <w:t>综合《中华人民共和国畜牧法》、《畜禽规模养殖污染防治条例》、《水污染防治法》、《自然保护区条例》、《风景名胜区条例》等法律法规，禁止在下列区域内建设畜禽养殖场、养殖小区：</w:t>
      </w:r>
    </w:p>
    <w:p>
      <w:pPr>
        <w:ind w:firstLine="480"/>
        <w:rPr>
          <w:color w:val="auto"/>
          <w:lang w:val="zh-CN"/>
        </w:rPr>
      </w:pPr>
      <w:r>
        <w:rPr>
          <w:rFonts w:hint="eastAsia"/>
          <w:color w:val="auto"/>
          <w:lang w:val="zh-CN"/>
        </w:rPr>
        <w:t>（一）饮用水水源保护区，风景名胜区；</w:t>
      </w:r>
    </w:p>
    <w:p>
      <w:pPr>
        <w:ind w:firstLine="480"/>
        <w:rPr>
          <w:color w:val="auto"/>
          <w:lang w:val="zh-CN"/>
        </w:rPr>
      </w:pPr>
      <w:r>
        <w:rPr>
          <w:rFonts w:hint="eastAsia"/>
          <w:color w:val="auto"/>
          <w:lang w:val="zh-CN"/>
        </w:rPr>
        <w:t>（二）自然保护区的核心区和缓冲区；</w:t>
      </w:r>
    </w:p>
    <w:p>
      <w:pPr>
        <w:ind w:firstLine="480"/>
        <w:rPr>
          <w:color w:val="auto"/>
          <w:lang w:val="zh-CN"/>
        </w:rPr>
      </w:pPr>
      <w:r>
        <w:rPr>
          <w:rFonts w:hint="eastAsia"/>
          <w:color w:val="auto"/>
          <w:lang w:val="zh-CN"/>
        </w:rPr>
        <w:t>（三）城镇居民区、文化教育科学研究区等人口集中区域；</w:t>
      </w:r>
    </w:p>
    <w:p>
      <w:pPr>
        <w:ind w:firstLine="480"/>
        <w:rPr>
          <w:color w:val="auto"/>
          <w:lang w:val="zh-CN"/>
        </w:rPr>
      </w:pPr>
      <w:r>
        <w:rPr>
          <w:rFonts w:hint="eastAsia"/>
          <w:color w:val="auto"/>
          <w:lang w:val="zh-CN"/>
        </w:rPr>
        <w:t>（四）法律、法规规定的其他禁止养殖区域。</w:t>
      </w:r>
    </w:p>
    <w:p>
      <w:pPr>
        <w:pStyle w:val="15"/>
        <w:spacing w:before="163" w:after="163"/>
        <w:rPr>
          <w:color w:val="auto"/>
        </w:rPr>
      </w:pPr>
      <w:bookmarkStart w:id="20" w:name="_Toc171516478"/>
      <w:r>
        <w:rPr>
          <w:rFonts w:hint="eastAsia"/>
          <w:color w:val="auto"/>
        </w:rPr>
        <w:t>地方法律法规依据</w:t>
      </w:r>
      <w:bookmarkEnd w:id="20"/>
    </w:p>
    <w:p>
      <w:pPr>
        <w:ind w:firstLine="480"/>
        <w:rPr>
          <w:color w:val="auto"/>
          <w:lang w:val="zh-CN"/>
        </w:rPr>
      </w:pPr>
      <w:r>
        <w:rPr>
          <w:rFonts w:hint="eastAsia"/>
          <w:color w:val="auto"/>
          <w:lang w:val="zh-CN"/>
        </w:rPr>
        <w:t>根据《广东省饮用水水质保护条例》：</w:t>
      </w:r>
    </w:p>
    <w:p>
      <w:pPr>
        <w:ind w:firstLine="480"/>
        <w:rPr>
          <w:color w:val="auto"/>
          <w:lang w:val="zh-CN"/>
        </w:rPr>
      </w:pPr>
      <w:r>
        <w:rPr>
          <w:rFonts w:hint="eastAsia"/>
          <w:color w:val="auto"/>
          <w:lang w:val="zh-CN"/>
        </w:rPr>
        <w:t>第十五条  饮用水水源保护区内禁止下列行为：（五）设置畜禽养殖场、养殖小区；</w:t>
      </w:r>
    </w:p>
    <w:p>
      <w:pPr>
        <w:ind w:firstLine="480"/>
        <w:rPr>
          <w:color w:val="auto"/>
          <w:lang w:val="zh-CN"/>
        </w:rPr>
      </w:pPr>
      <w:r>
        <w:rPr>
          <w:rFonts w:hint="eastAsia"/>
          <w:color w:val="auto"/>
          <w:lang w:val="zh-CN"/>
        </w:rPr>
        <w:t>第十六条  饮用水水源一级保护区内还禁止以下行为：（四）放养畜禽和充实网箱养殖活动；</w:t>
      </w:r>
    </w:p>
    <w:p>
      <w:pPr>
        <w:ind w:firstLine="480"/>
        <w:rPr>
          <w:color w:val="auto"/>
          <w:lang w:val="zh-CN"/>
        </w:rPr>
      </w:pPr>
      <w:r>
        <w:rPr>
          <w:rFonts w:hint="eastAsia"/>
          <w:color w:val="auto"/>
          <w:lang w:val="zh-CN"/>
        </w:rPr>
        <w:t>第十九条  农村饮用水小型集中式取水点周围半径一百米区域内禁止下列行为：（二）设置饲养场、肥料堆积场、公共厕所。</w:t>
      </w:r>
    </w:p>
    <w:p>
      <w:pPr>
        <w:pStyle w:val="15"/>
        <w:spacing w:before="163" w:after="163"/>
        <w:rPr>
          <w:color w:val="auto"/>
        </w:rPr>
      </w:pPr>
      <w:bookmarkStart w:id="21" w:name="_Toc171516479"/>
      <w:r>
        <w:rPr>
          <w:rFonts w:hint="eastAsia"/>
          <w:color w:val="auto"/>
        </w:rPr>
        <w:t>禁养区划定标准</w:t>
      </w:r>
      <w:bookmarkEnd w:id="21"/>
    </w:p>
    <w:p>
      <w:pPr>
        <w:ind w:firstLine="480"/>
        <w:rPr>
          <w:color w:val="auto"/>
          <w:lang w:val="zh-CN"/>
        </w:rPr>
      </w:pPr>
      <w:r>
        <w:rPr>
          <w:rFonts w:hint="eastAsia"/>
          <w:color w:val="auto"/>
          <w:lang w:val="zh-CN"/>
        </w:rPr>
        <w:t>根据《中华人民共和国畜牧法》、《畜禽规模养殖污染防治条例》、《广东省饮用水水质保护条例》等法律法规，畜禽禁养区划定标准如下：</w:t>
      </w:r>
    </w:p>
    <w:p>
      <w:pPr>
        <w:ind w:firstLine="480"/>
        <w:rPr>
          <w:color w:val="auto"/>
          <w:lang w:val="zh-CN"/>
        </w:rPr>
      </w:pPr>
      <w:r>
        <w:rPr>
          <w:rFonts w:hint="eastAsia"/>
          <w:color w:val="auto"/>
          <w:lang w:val="zh-CN"/>
        </w:rPr>
        <w:t>（一）饮用水水源保护区</w:t>
      </w:r>
    </w:p>
    <w:p>
      <w:pPr>
        <w:ind w:firstLine="480"/>
        <w:rPr>
          <w:color w:val="auto"/>
          <w:lang w:val="zh-CN"/>
        </w:rPr>
      </w:pPr>
      <w:r>
        <w:rPr>
          <w:rFonts w:hint="eastAsia"/>
          <w:color w:val="auto"/>
          <w:lang w:val="zh-CN"/>
        </w:rPr>
        <w:t>包括饮用水水源一级保护区和二级保护区的陆域范围。已经完成饮用水水源保护区划分的，按照现有陆域边界范围执行；未完成饮用水水源保护区划分的，参照《饮用水水源保护区划分技术规范》（HJ/T 338-2007）中各类型饮用水水源保护区划分方法确定。</w:t>
      </w:r>
    </w:p>
    <w:p>
      <w:pPr>
        <w:ind w:firstLine="480"/>
        <w:rPr>
          <w:color w:val="auto"/>
          <w:lang w:val="zh-CN"/>
        </w:rPr>
      </w:pPr>
      <w:r>
        <w:rPr>
          <w:rFonts w:hint="eastAsia"/>
          <w:color w:val="auto"/>
          <w:lang w:val="zh-CN"/>
        </w:rPr>
        <w:t>其中，饮水水源保护一级保护区内禁止建设养殖场。饮用水水源二级保护区禁止建设有污染物排放的养殖场（注：畜禽粪便、养殖废水、沼渣、沼液等经过无害化处理用作肥料还田，符合法律法规要求以及国家和地方相关标准不造成环境污染的，不属于排放污染物）。</w:t>
      </w:r>
    </w:p>
    <w:p>
      <w:pPr>
        <w:ind w:firstLine="480"/>
        <w:rPr>
          <w:color w:val="auto"/>
          <w:lang w:val="zh-CN"/>
        </w:rPr>
      </w:pPr>
      <w:r>
        <w:rPr>
          <w:rFonts w:hint="eastAsia"/>
          <w:color w:val="auto"/>
          <w:lang w:val="zh-CN"/>
        </w:rPr>
        <w:t>（二）自然保护区</w:t>
      </w:r>
    </w:p>
    <w:p>
      <w:pPr>
        <w:ind w:firstLine="480"/>
        <w:rPr>
          <w:color w:val="auto"/>
          <w:lang w:val="zh-CN"/>
        </w:rPr>
      </w:pPr>
      <w:r>
        <w:rPr>
          <w:rFonts w:hint="eastAsia"/>
          <w:color w:val="auto"/>
          <w:lang w:val="zh-CN"/>
        </w:rPr>
        <w:t>包括国家级和地方级自然保护区的核心区和缓冲区，按照各级人民政府公布的自然保护区范围执行。</w:t>
      </w:r>
    </w:p>
    <w:p>
      <w:pPr>
        <w:ind w:firstLine="480"/>
        <w:rPr>
          <w:color w:val="auto"/>
          <w:lang w:val="zh-CN"/>
        </w:rPr>
      </w:pPr>
      <w:r>
        <w:rPr>
          <w:rFonts w:hint="eastAsia"/>
          <w:color w:val="auto"/>
          <w:lang w:val="zh-CN"/>
        </w:rPr>
        <w:t>自然保护区核心区和缓冲区范围内，禁止建设养殖场。</w:t>
      </w:r>
    </w:p>
    <w:p>
      <w:pPr>
        <w:ind w:firstLine="480"/>
        <w:rPr>
          <w:color w:val="auto"/>
          <w:lang w:val="zh-CN"/>
        </w:rPr>
      </w:pPr>
      <w:r>
        <w:rPr>
          <w:rFonts w:hint="eastAsia"/>
          <w:color w:val="auto"/>
          <w:lang w:val="zh-CN"/>
        </w:rPr>
        <w:t>（三）风景名胜区</w:t>
      </w:r>
    </w:p>
    <w:p>
      <w:pPr>
        <w:ind w:firstLine="480"/>
        <w:rPr>
          <w:color w:val="auto"/>
          <w:lang w:val="zh-CN"/>
        </w:rPr>
      </w:pPr>
      <w:r>
        <w:rPr>
          <w:rFonts w:hint="eastAsia"/>
          <w:color w:val="auto"/>
          <w:lang w:val="zh-CN"/>
        </w:rPr>
        <w:t>包括国家级和省级风景名胜区，以国务院及省级人民政府批准公布的名单为准，范围按照其规划确定的范围执行。</w:t>
      </w:r>
    </w:p>
    <w:p>
      <w:pPr>
        <w:ind w:firstLine="480"/>
        <w:rPr>
          <w:color w:val="auto"/>
          <w:lang w:val="zh-CN"/>
        </w:rPr>
      </w:pPr>
      <w:r>
        <w:rPr>
          <w:rFonts w:hint="eastAsia"/>
          <w:color w:val="auto"/>
          <w:lang w:val="zh-CN"/>
        </w:rPr>
        <w:t>其中，风景名胜区的核心景区禁止建设养殖场；其他区域禁止建设有污染物排放的养殖场，</w:t>
      </w:r>
    </w:p>
    <w:p>
      <w:pPr>
        <w:ind w:firstLine="480"/>
        <w:rPr>
          <w:color w:val="auto"/>
          <w:lang w:val="zh-CN"/>
        </w:rPr>
      </w:pPr>
      <w:r>
        <w:rPr>
          <w:rFonts w:hint="eastAsia"/>
          <w:color w:val="auto"/>
          <w:lang w:val="zh-CN"/>
        </w:rPr>
        <w:t>（四）城镇居民区和文化教育科学研究区</w:t>
      </w:r>
    </w:p>
    <w:p>
      <w:pPr>
        <w:ind w:firstLine="480"/>
        <w:rPr>
          <w:color w:val="auto"/>
          <w:lang w:val="zh-CN"/>
        </w:rPr>
      </w:pPr>
      <w:r>
        <w:rPr>
          <w:rFonts w:hint="eastAsia"/>
          <w:color w:val="auto"/>
          <w:lang w:val="zh-CN"/>
        </w:rPr>
        <w:t>根据城镇现行总体规划，动物防疫条件、卫生防护和环境保护要求等，因地制宜，兼顾城镇发展，科学设置边界范围。边界范围内，禁止建设养殖场。</w:t>
      </w:r>
    </w:p>
    <w:p>
      <w:pPr>
        <w:ind w:firstLine="480"/>
        <w:rPr>
          <w:color w:val="auto"/>
          <w:lang w:val="zh-CN"/>
        </w:rPr>
      </w:pPr>
      <w:r>
        <w:rPr>
          <w:rFonts w:hint="eastAsia"/>
          <w:color w:val="auto"/>
          <w:lang w:val="zh-CN"/>
        </w:rPr>
        <w:t>（五）法律、法规规定的其他禁止养殖区域。</w:t>
      </w:r>
    </w:p>
    <w:p>
      <w:pPr>
        <w:pStyle w:val="14"/>
        <w:spacing w:before="163" w:after="163"/>
        <w:rPr>
          <w:color w:val="auto"/>
        </w:rPr>
      </w:pPr>
      <w:bookmarkStart w:id="22" w:name="_Toc171516480"/>
      <w:r>
        <w:rPr>
          <w:rFonts w:hint="eastAsia"/>
          <w:color w:val="auto"/>
        </w:rPr>
        <w:t>畜禽养殖禁养区划定范围</w:t>
      </w:r>
      <w:bookmarkEnd w:id="22"/>
    </w:p>
    <w:p>
      <w:pPr>
        <w:ind w:firstLine="480"/>
        <w:rPr>
          <w:color w:val="auto"/>
          <w:lang w:val="zh-CN"/>
        </w:rPr>
      </w:pPr>
      <w:r>
        <w:rPr>
          <w:rFonts w:hint="eastAsia"/>
          <w:color w:val="auto"/>
          <w:lang w:val="zh-CN"/>
        </w:rPr>
        <w:t>本次畜禽养殖区域的划分范围为湛江经济技术开发区所辖全部乡镇（街道），包括乐华、泉庄、东山、东简、</w:t>
      </w:r>
      <w:r>
        <w:rPr>
          <w:rFonts w:hint="eastAsia"/>
          <w:color w:val="auto"/>
          <w:lang w:val="zh-CN"/>
        </w:rPr>
        <w:t>民安5个街道</w:t>
      </w:r>
      <w:r>
        <w:rPr>
          <w:rFonts w:hint="eastAsia"/>
          <w:color w:val="auto"/>
          <w:lang w:val="zh-CN"/>
        </w:rPr>
        <w:t>及硇洲镇1个镇。畜禽养殖禁养区具体划分情况如下文所示。</w:t>
      </w:r>
    </w:p>
    <w:p>
      <w:pPr>
        <w:pStyle w:val="15"/>
        <w:spacing w:before="163" w:after="163"/>
        <w:rPr>
          <w:color w:val="auto"/>
        </w:rPr>
      </w:pPr>
      <w:bookmarkStart w:id="23" w:name="_Toc171516481"/>
      <w:r>
        <w:rPr>
          <w:rFonts w:hint="eastAsia"/>
          <w:color w:val="auto"/>
        </w:rPr>
        <w:t>饮用水水源保护区</w:t>
      </w:r>
      <w:bookmarkEnd w:id="23"/>
    </w:p>
    <w:p>
      <w:pPr>
        <w:ind w:firstLine="480"/>
        <w:rPr>
          <w:rStyle w:val="21"/>
          <w:rFonts w:hint="default" w:ascii="Times New Roman" w:hAnsi="Times New Roman" w:cs="Times New Roman"/>
          <w:color w:val="auto"/>
        </w:rPr>
      </w:pPr>
      <w:r>
        <w:rPr>
          <w:rFonts w:hint="eastAsia"/>
          <w:color w:val="auto"/>
          <w:lang w:val="zh-CN"/>
        </w:rPr>
        <w:t>根据《广东省人民政府关于调整湛江市地表水饮用水源保护区的批复》（粤府函[2014]141号）、《广东省人民政府关于调整湛江市部分饮用水水源保护区的批复》（粤府函〔2019〕275号）、</w:t>
      </w:r>
      <w:r>
        <w:rPr>
          <w:rStyle w:val="21"/>
          <w:rFonts w:hint="default" w:ascii="Times New Roman" w:hAnsi="Times New Roman" w:cs="Times New Roman"/>
          <w:color w:val="auto"/>
        </w:rPr>
        <w:t>《湛江市人民政府关于印发湛江市乡镇及以下集中式饮用水水源保护区划定方案的通知》（湛府〔2020〕65号）以及《湛江市人民政府关于湛江市部分乡镇及以下集中式饮用水水源保护区划定方案的批复》（湛府函〔2022〕163号），湛江经济技术开发区内现存饮用水水源保护区共有2处，分别为五一水库饮用水水源保护区、硇洲镇集中式地下饮用水水源保护区。</w:t>
      </w:r>
    </w:p>
    <w:p>
      <w:pPr>
        <w:ind w:firstLine="480"/>
        <w:rPr>
          <w:rStyle w:val="21"/>
          <w:rFonts w:hint="default" w:ascii="Times New Roman" w:hAnsi="Times New Roman" w:cs="Times New Roman"/>
          <w:color w:val="auto"/>
        </w:rPr>
      </w:pPr>
      <w:r>
        <w:rPr>
          <w:rStyle w:val="21"/>
          <w:rFonts w:hint="default" w:ascii="Times New Roman" w:hAnsi="Times New Roman" w:cs="Times New Roman"/>
          <w:color w:val="auto"/>
        </w:rPr>
        <w:t>本次划定的饮用水水源保护区禁养区范围具体见表4.2-1。</w:t>
      </w:r>
    </w:p>
    <w:p>
      <w:pPr>
        <w:pStyle w:val="17"/>
        <w:ind w:firstLine="480"/>
        <w:rPr>
          <w:color w:val="auto"/>
        </w:rPr>
      </w:pPr>
    </w:p>
    <w:p>
      <w:pPr>
        <w:pStyle w:val="17"/>
        <w:ind w:firstLine="480"/>
        <w:rPr>
          <w:color w:val="auto"/>
        </w:rPr>
      </w:pPr>
    </w:p>
    <w:p>
      <w:pPr>
        <w:pStyle w:val="17"/>
        <w:ind w:firstLine="480"/>
        <w:rPr>
          <w:rStyle w:val="21"/>
          <w:rFonts w:hint="default" w:ascii="Times New Roman" w:hAnsi="Times New Roman"/>
          <w:color w:val="auto"/>
        </w:rPr>
      </w:pPr>
      <w:r>
        <w:rPr>
          <w:rFonts w:hint="eastAsia"/>
          <w:color w:val="auto"/>
        </w:rPr>
        <w:t>表4.2-1    饮用水</w:t>
      </w:r>
      <w:r>
        <w:rPr>
          <w:color w:val="auto"/>
        </w:rPr>
        <w:t>水源保护区禁养区情况一览表</w:t>
      </w:r>
    </w:p>
    <w:tbl>
      <w:tblPr>
        <w:tblStyle w:val="12"/>
        <w:tblW w:w="92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4"/>
        <w:gridCol w:w="2099"/>
        <w:gridCol w:w="4039"/>
        <w:gridCol w:w="2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4" w:type="dxa"/>
            <w:vAlign w:val="center"/>
          </w:tcPr>
          <w:p>
            <w:pPr>
              <w:pStyle w:val="18"/>
              <w:rPr>
                <w:color w:val="auto"/>
                <w:lang w:val="zh-CN"/>
              </w:rPr>
            </w:pPr>
            <w:r>
              <w:rPr>
                <w:rFonts w:hint="eastAsia"/>
                <w:color w:val="auto"/>
                <w:lang w:val="zh-CN"/>
              </w:rPr>
              <w:t>序号</w:t>
            </w:r>
          </w:p>
        </w:tc>
        <w:tc>
          <w:tcPr>
            <w:tcW w:w="2099" w:type="dxa"/>
            <w:vAlign w:val="center"/>
          </w:tcPr>
          <w:p>
            <w:pPr>
              <w:pStyle w:val="18"/>
              <w:rPr>
                <w:color w:val="auto"/>
                <w:lang w:val="zh-CN"/>
              </w:rPr>
            </w:pPr>
            <w:r>
              <w:rPr>
                <w:rFonts w:hint="eastAsia"/>
                <w:color w:val="auto"/>
                <w:lang w:val="zh-CN"/>
              </w:rPr>
              <w:t>保护区名称</w:t>
            </w:r>
          </w:p>
        </w:tc>
        <w:tc>
          <w:tcPr>
            <w:tcW w:w="4039" w:type="dxa"/>
            <w:vAlign w:val="center"/>
          </w:tcPr>
          <w:p>
            <w:pPr>
              <w:pStyle w:val="18"/>
              <w:rPr>
                <w:color w:val="auto"/>
                <w:lang w:val="zh-CN"/>
              </w:rPr>
            </w:pPr>
            <w:r>
              <w:rPr>
                <w:rFonts w:hint="eastAsia"/>
                <w:color w:val="auto"/>
                <w:lang w:val="zh-CN"/>
              </w:rPr>
              <w:t>一级保护区范围</w:t>
            </w:r>
          </w:p>
        </w:tc>
        <w:tc>
          <w:tcPr>
            <w:tcW w:w="2054" w:type="dxa"/>
            <w:vAlign w:val="center"/>
          </w:tcPr>
          <w:p>
            <w:pPr>
              <w:pStyle w:val="18"/>
              <w:rPr>
                <w:color w:val="auto"/>
                <w:lang w:val="zh-CN"/>
              </w:rPr>
            </w:pPr>
            <w:r>
              <w:rPr>
                <w:rFonts w:hint="eastAsia"/>
                <w:color w:val="auto"/>
                <w:lang w:val="zh-CN"/>
              </w:rPr>
              <w:t>二级保护区范围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4" w:type="dxa"/>
            <w:vAlign w:val="center"/>
          </w:tcPr>
          <w:p>
            <w:pPr>
              <w:pStyle w:val="18"/>
              <w:rPr>
                <w:color w:val="auto"/>
                <w:lang w:val="zh-CN"/>
              </w:rPr>
            </w:pPr>
            <w:r>
              <w:rPr>
                <w:rFonts w:hint="eastAsia"/>
                <w:color w:val="auto"/>
                <w:lang w:val="zh-CN"/>
              </w:rPr>
              <w:t>1</w:t>
            </w:r>
          </w:p>
        </w:tc>
        <w:tc>
          <w:tcPr>
            <w:tcW w:w="2099" w:type="dxa"/>
            <w:vAlign w:val="center"/>
          </w:tcPr>
          <w:p>
            <w:pPr>
              <w:pStyle w:val="18"/>
              <w:rPr>
                <w:color w:val="auto"/>
                <w:lang w:val="zh-CN"/>
              </w:rPr>
            </w:pPr>
            <w:r>
              <w:rPr>
                <w:rFonts w:hint="eastAsia"/>
                <w:color w:val="auto"/>
                <w:lang w:val="zh-CN"/>
              </w:rPr>
              <w:t>五一水库饮用水水源保护区</w:t>
            </w:r>
          </w:p>
        </w:tc>
        <w:tc>
          <w:tcPr>
            <w:tcW w:w="4039" w:type="dxa"/>
            <w:vAlign w:val="center"/>
          </w:tcPr>
          <w:p>
            <w:pPr>
              <w:pStyle w:val="18"/>
              <w:rPr>
                <w:color w:val="auto"/>
                <w:lang w:val="zh-CN"/>
              </w:rPr>
            </w:pPr>
            <w:r>
              <w:rPr>
                <w:rFonts w:hint="eastAsia"/>
                <w:color w:val="auto"/>
                <w:lang w:val="zh-CN"/>
              </w:rPr>
              <w:t>水域：水库全部水域；陆域：水库集雨区范围内的全部陆域（保护区东北侧范围至省道 S288 南侧排水渠，东南侧范围至龟头村沿库道路左侧）</w:t>
            </w:r>
          </w:p>
        </w:tc>
        <w:tc>
          <w:tcPr>
            <w:tcW w:w="2054" w:type="dxa"/>
            <w:vAlign w:val="center"/>
          </w:tcPr>
          <w:p>
            <w:pPr>
              <w:pStyle w:val="18"/>
              <w:rPr>
                <w:color w:val="auto"/>
                <w:lang w:val="zh-CN"/>
              </w:rPr>
            </w:pPr>
            <w:r>
              <w:rPr>
                <w:rFonts w:hint="eastAsia"/>
                <w:color w:val="auto"/>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4" w:type="dxa"/>
            <w:vAlign w:val="center"/>
          </w:tcPr>
          <w:p>
            <w:pPr>
              <w:pStyle w:val="18"/>
              <w:rPr>
                <w:color w:val="auto"/>
                <w:lang w:val="zh-CN"/>
              </w:rPr>
            </w:pPr>
            <w:r>
              <w:rPr>
                <w:rFonts w:hint="eastAsia"/>
                <w:color w:val="auto"/>
                <w:lang w:val="zh-CN"/>
              </w:rPr>
              <w:t>2</w:t>
            </w:r>
          </w:p>
        </w:tc>
        <w:tc>
          <w:tcPr>
            <w:tcW w:w="2099" w:type="dxa"/>
            <w:vAlign w:val="center"/>
          </w:tcPr>
          <w:p>
            <w:pPr>
              <w:pStyle w:val="18"/>
              <w:rPr>
                <w:color w:val="auto"/>
                <w:lang w:val="zh-CN"/>
              </w:rPr>
            </w:pPr>
            <w:r>
              <w:rPr>
                <w:rFonts w:hint="eastAsia"/>
                <w:color w:val="auto"/>
                <w:lang w:val="zh-CN"/>
              </w:rPr>
              <w:t>硇洲镇集中式地下饮用水水源保护区</w:t>
            </w:r>
          </w:p>
        </w:tc>
        <w:tc>
          <w:tcPr>
            <w:tcW w:w="4039" w:type="dxa"/>
            <w:vAlign w:val="center"/>
          </w:tcPr>
          <w:p>
            <w:pPr>
              <w:pStyle w:val="18"/>
              <w:rPr>
                <w:rFonts w:cs="Times New Roman"/>
                <w:color w:val="auto"/>
                <w:lang w:val="zh-CN"/>
              </w:rPr>
            </w:pPr>
            <w:r>
              <w:rPr>
                <w:rFonts w:cs="Times New Roman"/>
                <w:color w:val="auto"/>
                <w:lang w:val="zh-CN"/>
              </w:rPr>
              <w:t>硇洲水厂院墙范围内的区域，即以坐标点（E110°33′11.37″、N20°53′56.00″，E110°33′13.24″、N20°53′54.47″，E110°33′11.99″、N20°53′53.53″，E110°33′10.39″、N20°53′55.35″）围成的外接多边形区域</w:t>
            </w:r>
          </w:p>
        </w:tc>
        <w:tc>
          <w:tcPr>
            <w:tcW w:w="2054" w:type="dxa"/>
            <w:vAlign w:val="center"/>
          </w:tcPr>
          <w:p>
            <w:pPr>
              <w:pStyle w:val="18"/>
              <w:rPr>
                <w:color w:val="auto"/>
                <w:lang w:val="zh-CN"/>
              </w:rPr>
            </w:pPr>
            <w:r>
              <w:rPr>
                <w:rFonts w:hint="eastAsia"/>
                <w:color w:val="auto"/>
                <w:lang w:val="zh-CN"/>
              </w:rPr>
              <w:t>/</w:t>
            </w:r>
          </w:p>
        </w:tc>
      </w:tr>
    </w:tbl>
    <w:p>
      <w:pPr>
        <w:ind w:firstLine="480"/>
        <w:rPr>
          <w:color w:val="auto"/>
          <w:lang w:val="zh-CN"/>
        </w:rPr>
      </w:pPr>
    </w:p>
    <w:p>
      <w:pPr>
        <w:pStyle w:val="15"/>
        <w:spacing w:before="163" w:after="163"/>
        <w:rPr>
          <w:color w:val="auto"/>
        </w:rPr>
      </w:pPr>
      <w:bookmarkStart w:id="24" w:name="_Toc171516482"/>
      <w:r>
        <w:rPr>
          <w:rFonts w:hint="eastAsia"/>
          <w:color w:val="auto"/>
        </w:rPr>
        <w:t>自然保护区</w:t>
      </w:r>
      <w:bookmarkEnd w:id="24"/>
    </w:p>
    <w:p>
      <w:pPr>
        <w:ind w:firstLine="480"/>
        <w:rPr>
          <w:color w:val="auto"/>
          <w:lang w:val="zh-CN"/>
        </w:rPr>
      </w:pPr>
      <w:r>
        <w:rPr>
          <w:rFonts w:hint="eastAsia"/>
          <w:color w:val="auto"/>
          <w:lang w:val="zh-CN"/>
        </w:rPr>
        <w:t>湛江经济技术开发区内共有4个自然保护地，其中国家级自然保护区1个、地方级自然保护区1个，地方级自然公园2个，见下表所示：</w:t>
      </w:r>
    </w:p>
    <w:p>
      <w:pPr>
        <w:pStyle w:val="17"/>
        <w:rPr>
          <w:color w:val="auto"/>
          <w:lang w:val="zh-CN"/>
        </w:rPr>
      </w:pPr>
      <w:r>
        <w:rPr>
          <w:rFonts w:hint="eastAsia"/>
          <w:color w:val="auto"/>
          <w:lang w:val="zh-CN"/>
        </w:rPr>
        <w:t>表4.2-2     禁养区自然保护区情况一览表（单位：公顷）</w:t>
      </w:r>
    </w:p>
    <w:tbl>
      <w:tblPr>
        <w:tblStyle w:val="11"/>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933"/>
        <w:gridCol w:w="3019"/>
        <w:gridCol w:w="1908"/>
        <w:gridCol w:w="1846"/>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jc w:val="center"/>
        </w:trPr>
        <w:tc>
          <w:tcPr>
            <w:tcW w:w="933" w:type="dxa"/>
            <w:vAlign w:val="center"/>
          </w:tcPr>
          <w:p>
            <w:pPr>
              <w:pStyle w:val="18"/>
              <w:rPr>
                <w:color w:val="auto"/>
              </w:rPr>
            </w:pPr>
            <w:bookmarkStart w:id="25" w:name="_Hlk128989294"/>
            <w:r>
              <w:rPr>
                <w:color w:val="auto"/>
              </w:rPr>
              <w:t>序号</w:t>
            </w:r>
          </w:p>
        </w:tc>
        <w:tc>
          <w:tcPr>
            <w:tcW w:w="3019" w:type="dxa"/>
            <w:vAlign w:val="center"/>
          </w:tcPr>
          <w:p>
            <w:pPr>
              <w:pStyle w:val="18"/>
              <w:rPr>
                <w:color w:val="auto"/>
              </w:rPr>
            </w:pPr>
            <w:r>
              <w:rPr>
                <w:color w:val="auto"/>
              </w:rPr>
              <w:t>名称</w:t>
            </w:r>
          </w:p>
        </w:tc>
        <w:tc>
          <w:tcPr>
            <w:tcW w:w="1908" w:type="dxa"/>
            <w:vAlign w:val="center"/>
          </w:tcPr>
          <w:p>
            <w:pPr>
              <w:pStyle w:val="18"/>
              <w:rPr>
                <w:color w:val="auto"/>
              </w:rPr>
            </w:pPr>
            <w:r>
              <w:rPr>
                <w:color w:val="auto"/>
              </w:rPr>
              <w:t>总面积</w:t>
            </w:r>
          </w:p>
        </w:tc>
        <w:tc>
          <w:tcPr>
            <w:tcW w:w="1846" w:type="dxa"/>
            <w:vAlign w:val="center"/>
          </w:tcPr>
          <w:p>
            <w:pPr>
              <w:pStyle w:val="18"/>
              <w:rPr>
                <w:color w:val="auto"/>
              </w:rPr>
            </w:pPr>
            <w:r>
              <w:rPr>
                <w:color w:val="auto"/>
              </w:rPr>
              <w:t>保护地类型</w:t>
            </w:r>
          </w:p>
        </w:tc>
        <w:tc>
          <w:tcPr>
            <w:tcW w:w="1580" w:type="dxa"/>
            <w:vAlign w:val="center"/>
          </w:tcPr>
          <w:p>
            <w:pPr>
              <w:pStyle w:val="18"/>
              <w:rPr>
                <w:color w:val="auto"/>
              </w:rPr>
            </w:pPr>
            <w:r>
              <w:rPr>
                <w:color w:val="auto"/>
              </w:rPr>
              <w:t>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jc w:val="center"/>
        </w:trPr>
        <w:tc>
          <w:tcPr>
            <w:tcW w:w="933" w:type="dxa"/>
            <w:vAlign w:val="center"/>
          </w:tcPr>
          <w:p>
            <w:pPr>
              <w:pStyle w:val="18"/>
              <w:rPr>
                <w:color w:val="auto"/>
              </w:rPr>
            </w:pPr>
            <w:r>
              <w:rPr>
                <w:color w:val="auto"/>
              </w:rPr>
              <w:t>1</w:t>
            </w:r>
          </w:p>
        </w:tc>
        <w:tc>
          <w:tcPr>
            <w:tcW w:w="3019" w:type="dxa"/>
            <w:vAlign w:val="center"/>
          </w:tcPr>
          <w:p>
            <w:pPr>
              <w:pStyle w:val="18"/>
              <w:rPr>
                <w:color w:val="auto"/>
              </w:rPr>
            </w:pPr>
            <w:r>
              <w:rPr>
                <w:color w:val="auto"/>
              </w:rPr>
              <w:t>广东湛江红树林国家级自然保护区</w:t>
            </w:r>
          </w:p>
        </w:tc>
        <w:tc>
          <w:tcPr>
            <w:tcW w:w="1908" w:type="dxa"/>
            <w:vAlign w:val="center"/>
          </w:tcPr>
          <w:p>
            <w:pPr>
              <w:pStyle w:val="18"/>
              <w:rPr>
                <w:color w:val="auto"/>
              </w:rPr>
            </w:pPr>
            <w:r>
              <w:rPr>
                <w:rFonts w:hint="eastAsia"/>
                <w:color w:val="auto"/>
              </w:rPr>
              <w:t>3044.44</w:t>
            </w:r>
          </w:p>
        </w:tc>
        <w:tc>
          <w:tcPr>
            <w:tcW w:w="1846" w:type="dxa"/>
            <w:vAlign w:val="center"/>
          </w:tcPr>
          <w:p>
            <w:pPr>
              <w:pStyle w:val="18"/>
              <w:rPr>
                <w:color w:val="auto"/>
              </w:rPr>
            </w:pPr>
            <w:r>
              <w:rPr>
                <w:color w:val="auto"/>
              </w:rPr>
              <w:t>自然保护区</w:t>
            </w:r>
          </w:p>
        </w:tc>
        <w:tc>
          <w:tcPr>
            <w:tcW w:w="1580" w:type="dxa"/>
            <w:vAlign w:val="center"/>
          </w:tcPr>
          <w:p>
            <w:pPr>
              <w:pStyle w:val="18"/>
              <w:rPr>
                <w:color w:val="auto"/>
              </w:rPr>
            </w:pPr>
            <w:r>
              <w:rPr>
                <w:color w:val="auto"/>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jc w:val="center"/>
        </w:trPr>
        <w:tc>
          <w:tcPr>
            <w:tcW w:w="933" w:type="dxa"/>
            <w:vAlign w:val="center"/>
          </w:tcPr>
          <w:p>
            <w:pPr>
              <w:pStyle w:val="18"/>
              <w:rPr>
                <w:color w:val="auto"/>
              </w:rPr>
            </w:pPr>
            <w:r>
              <w:rPr>
                <w:color w:val="auto"/>
              </w:rPr>
              <w:t>2</w:t>
            </w:r>
          </w:p>
        </w:tc>
        <w:tc>
          <w:tcPr>
            <w:tcW w:w="3019" w:type="dxa"/>
            <w:vAlign w:val="center"/>
          </w:tcPr>
          <w:p>
            <w:pPr>
              <w:pStyle w:val="18"/>
              <w:rPr>
                <w:color w:val="auto"/>
              </w:rPr>
            </w:pPr>
            <w:r>
              <w:rPr>
                <w:color w:val="auto"/>
              </w:rPr>
              <w:t>湛江经济技术开发区东海岛地方级森林公园</w:t>
            </w:r>
          </w:p>
        </w:tc>
        <w:tc>
          <w:tcPr>
            <w:tcW w:w="1908" w:type="dxa"/>
            <w:vAlign w:val="center"/>
          </w:tcPr>
          <w:p>
            <w:pPr>
              <w:pStyle w:val="18"/>
              <w:rPr>
                <w:color w:val="auto"/>
              </w:rPr>
            </w:pPr>
            <w:r>
              <w:rPr>
                <w:rFonts w:hint="eastAsia"/>
                <w:color w:val="auto"/>
              </w:rPr>
              <w:t>64.1</w:t>
            </w:r>
          </w:p>
        </w:tc>
        <w:tc>
          <w:tcPr>
            <w:tcW w:w="1846" w:type="dxa"/>
            <w:vAlign w:val="center"/>
          </w:tcPr>
          <w:p>
            <w:pPr>
              <w:pStyle w:val="18"/>
              <w:rPr>
                <w:color w:val="auto"/>
              </w:rPr>
            </w:pPr>
            <w:r>
              <w:rPr>
                <w:color w:val="auto"/>
              </w:rPr>
              <w:t>森林公园</w:t>
            </w:r>
          </w:p>
        </w:tc>
        <w:tc>
          <w:tcPr>
            <w:tcW w:w="1580" w:type="dxa"/>
            <w:vAlign w:val="center"/>
          </w:tcPr>
          <w:p>
            <w:pPr>
              <w:pStyle w:val="18"/>
              <w:rPr>
                <w:color w:val="auto"/>
              </w:rPr>
            </w:pPr>
            <w:r>
              <w:rPr>
                <w:color w:val="auto"/>
              </w:rPr>
              <w:t>地方级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jc w:val="center"/>
        </w:trPr>
        <w:tc>
          <w:tcPr>
            <w:tcW w:w="933" w:type="dxa"/>
            <w:vAlign w:val="center"/>
          </w:tcPr>
          <w:p>
            <w:pPr>
              <w:pStyle w:val="18"/>
              <w:rPr>
                <w:color w:val="auto"/>
              </w:rPr>
            </w:pPr>
            <w:r>
              <w:rPr>
                <w:color w:val="auto"/>
              </w:rPr>
              <w:t>3</w:t>
            </w:r>
          </w:p>
        </w:tc>
        <w:tc>
          <w:tcPr>
            <w:tcW w:w="3019" w:type="dxa"/>
            <w:vAlign w:val="center"/>
          </w:tcPr>
          <w:p>
            <w:pPr>
              <w:pStyle w:val="18"/>
              <w:rPr>
                <w:color w:val="auto"/>
              </w:rPr>
            </w:pPr>
            <w:r>
              <w:rPr>
                <w:color w:val="auto"/>
              </w:rPr>
              <w:t>湛江经济技术开发区硇洲岛海洋生态地方级自然保护区</w:t>
            </w:r>
          </w:p>
        </w:tc>
        <w:tc>
          <w:tcPr>
            <w:tcW w:w="1908" w:type="dxa"/>
            <w:vAlign w:val="center"/>
          </w:tcPr>
          <w:p>
            <w:pPr>
              <w:pStyle w:val="18"/>
              <w:rPr>
                <w:color w:val="auto"/>
              </w:rPr>
            </w:pPr>
            <w:r>
              <w:rPr>
                <w:color w:val="auto"/>
              </w:rPr>
              <w:t>54.32</w:t>
            </w:r>
          </w:p>
        </w:tc>
        <w:tc>
          <w:tcPr>
            <w:tcW w:w="1846" w:type="dxa"/>
            <w:vAlign w:val="center"/>
          </w:tcPr>
          <w:p>
            <w:pPr>
              <w:pStyle w:val="18"/>
              <w:rPr>
                <w:color w:val="auto"/>
              </w:rPr>
            </w:pPr>
            <w:r>
              <w:rPr>
                <w:color w:val="auto"/>
              </w:rPr>
              <w:t>自然保护区</w:t>
            </w:r>
          </w:p>
        </w:tc>
        <w:tc>
          <w:tcPr>
            <w:tcW w:w="1580" w:type="dxa"/>
            <w:vAlign w:val="center"/>
          </w:tcPr>
          <w:p>
            <w:pPr>
              <w:pStyle w:val="18"/>
              <w:rPr>
                <w:color w:val="auto"/>
              </w:rPr>
            </w:pPr>
            <w:r>
              <w:rPr>
                <w:color w:val="auto"/>
              </w:rPr>
              <w:t>地方级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jc w:val="center"/>
        </w:trPr>
        <w:tc>
          <w:tcPr>
            <w:tcW w:w="933" w:type="dxa"/>
            <w:vAlign w:val="center"/>
          </w:tcPr>
          <w:p>
            <w:pPr>
              <w:pStyle w:val="18"/>
              <w:rPr>
                <w:color w:val="auto"/>
              </w:rPr>
            </w:pPr>
            <w:r>
              <w:rPr>
                <w:color w:val="auto"/>
              </w:rPr>
              <w:t>4</w:t>
            </w:r>
          </w:p>
        </w:tc>
        <w:tc>
          <w:tcPr>
            <w:tcW w:w="3019" w:type="dxa"/>
            <w:vAlign w:val="center"/>
          </w:tcPr>
          <w:p>
            <w:pPr>
              <w:pStyle w:val="18"/>
              <w:rPr>
                <w:color w:val="auto"/>
              </w:rPr>
            </w:pPr>
            <w:r>
              <w:rPr>
                <w:color w:val="auto"/>
              </w:rPr>
              <w:t>湛江麻章雷州湾地方级湿地公园</w:t>
            </w:r>
          </w:p>
        </w:tc>
        <w:tc>
          <w:tcPr>
            <w:tcW w:w="1908" w:type="dxa"/>
            <w:vAlign w:val="center"/>
          </w:tcPr>
          <w:p>
            <w:pPr>
              <w:pStyle w:val="18"/>
              <w:rPr>
                <w:color w:val="auto"/>
              </w:rPr>
            </w:pPr>
            <w:r>
              <w:rPr>
                <w:color w:val="auto"/>
              </w:rPr>
              <w:t>499.60</w:t>
            </w:r>
          </w:p>
        </w:tc>
        <w:tc>
          <w:tcPr>
            <w:tcW w:w="1846" w:type="dxa"/>
            <w:vAlign w:val="center"/>
          </w:tcPr>
          <w:p>
            <w:pPr>
              <w:pStyle w:val="18"/>
              <w:rPr>
                <w:color w:val="auto"/>
              </w:rPr>
            </w:pPr>
            <w:r>
              <w:rPr>
                <w:color w:val="auto"/>
              </w:rPr>
              <w:t>湿地公园</w:t>
            </w:r>
          </w:p>
        </w:tc>
        <w:tc>
          <w:tcPr>
            <w:tcW w:w="1580" w:type="dxa"/>
            <w:vAlign w:val="center"/>
          </w:tcPr>
          <w:p>
            <w:pPr>
              <w:pStyle w:val="18"/>
              <w:rPr>
                <w:color w:val="auto"/>
              </w:rPr>
            </w:pPr>
            <w:r>
              <w:rPr>
                <w:color w:val="auto"/>
              </w:rPr>
              <w:t>地方级</w:t>
            </w:r>
          </w:p>
        </w:tc>
      </w:tr>
      <w:bookmarkEnd w:id="25"/>
    </w:tbl>
    <w:p>
      <w:pPr>
        <w:ind w:firstLine="480"/>
        <w:rPr>
          <w:color w:val="auto"/>
          <w:lang w:val="zh-CN"/>
        </w:rPr>
      </w:pPr>
    </w:p>
    <w:p>
      <w:pPr>
        <w:ind w:firstLine="480"/>
        <w:rPr>
          <w:color w:val="auto"/>
        </w:rPr>
      </w:pPr>
      <w:r>
        <w:rPr>
          <w:rFonts w:hint="eastAsia"/>
          <w:color w:val="auto"/>
        </w:rPr>
        <w:t>根据湛江市2023年“三线一单”生态环境分区管控成果，湛江经济技术开发区内生态保护红线情况见下表所示：</w:t>
      </w:r>
    </w:p>
    <w:p>
      <w:pPr>
        <w:pStyle w:val="17"/>
        <w:rPr>
          <w:color w:val="auto"/>
        </w:rPr>
      </w:pPr>
      <w:r>
        <w:rPr>
          <w:rFonts w:hint="eastAsia"/>
          <w:color w:val="auto"/>
        </w:rPr>
        <w:t>表4.2-3     禁养区内生态保护红线情况一览表（单位：平方公里）</w:t>
      </w:r>
    </w:p>
    <w:tbl>
      <w:tblPr>
        <w:tblStyle w:val="11"/>
        <w:tblW w:w="92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3911"/>
        <w:gridCol w:w="5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3911" w:type="dxa"/>
            <w:vAlign w:val="center"/>
          </w:tcPr>
          <w:p>
            <w:pPr>
              <w:widowControl/>
              <w:spacing w:line="240" w:lineRule="auto"/>
              <w:ind w:firstLine="0" w:firstLineChars="0"/>
              <w:jc w:val="center"/>
              <w:rPr>
                <w:b/>
                <w:bCs/>
                <w:color w:val="auto"/>
                <w:kern w:val="0"/>
                <w:sz w:val="21"/>
                <w:szCs w:val="21"/>
              </w:rPr>
            </w:pPr>
            <w:r>
              <w:rPr>
                <w:b/>
                <w:bCs/>
                <w:color w:val="auto"/>
                <w:kern w:val="0"/>
                <w:sz w:val="21"/>
                <w:szCs w:val="21"/>
              </w:rPr>
              <w:t>行政区</w:t>
            </w:r>
          </w:p>
        </w:tc>
        <w:tc>
          <w:tcPr>
            <w:tcW w:w="5375" w:type="dxa"/>
            <w:vAlign w:val="top"/>
          </w:tcPr>
          <w:p>
            <w:pPr>
              <w:widowControl/>
              <w:spacing w:line="240" w:lineRule="auto"/>
              <w:ind w:firstLine="0" w:firstLineChars="0"/>
              <w:jc w:val="center"/>
              <w:rPr>
                <w:b/>
                <w:bCs/>
                <w:color w:val="auto"/>
                <w:kern w:val="0"/>
                <w:sz w:val="21"/>
                <w:szCs w:val="21"/>
              </w:rPr>
            </w:pPr>
            <w:r>
              <w:rPr>
                <w:rFonts w:hint="eastAsia"/>
                <w:b/>
                <w:bCs/>
                <w:color w:val="auto"/>
                <w:kern w:val="0"/>
                <w:sz w:val="21"/>
                <w:szCs w:val="21"/>
              </w:rPr>
              <w:t>陆域生态保护红线面积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3911" w:type="dxa"/>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东简街道</w:t>
            </w:r>
          </w:p>
        </w:tc>
        <w:tc>
          <w:tcPr>
            <w:tcW w:w="5375" w:type="dxa"/>
            <w:vAlign w:val="bottom"/>
          </w:tcPr>
          <w:p>
            <w:pPr>
              <w:widowControl/>
              <w:spacing w:line="240" w:lineRule="auto"/>
              <w:ind w:firstLine="0" w:firstLineChars="0"/>
              <w:jc w:val="center"/>
              <w:rPr>
                <w:color w:val="auto"/>
                <w:kern w:val="0"/>
                <w:sz w:val="21"/>
                <w:szCs w:val="21"/>
              </w:rPr>
            </w:pPr>
            <w:r>
              <w:rPr>
                <w:color w:val="auto"/>
                <w:kern w:val="0"/>
                <w:sz w:val="21"/>
                <w:szCs w:val="21"/>
                <w:lang/>
              </w:rPr>
              <w:t>0.6089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3911" w:type="dxa"/>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东山街道</w:t>
            </w:r>
          </w:p>
        </w:tc>
        <w:tc>
          <w:tcPr>
            <w:tcW w:w="5375" w:type="dxa"/>
            <w:vAlign w:val="bottom"/>
          </w:tcPr>
          <w:p>
            <w:pPr>
              <w:widowControl/>
              <w:spacing w:line="240" w:lineRule="auto"/>
              <w:ind w:firstLine="0" w:firstLineChars="0"/>
              <w:jc w:val="center"/>
              <w:rPr>
                <w:color w:val="auto"/>
                <w:kern w:val="0"/>
                <w:sz w:val="21"/>
                <w:szCs w:val="21"/>
              </w:rPr>
            </w:pPr>
            <w:r>
              <w:rPr>
                <w:color w:val="auto"/>
                <w:kern w:val="0"/>
                <w:sz w:val="21"/>
                <w:szCs w:val="21"/>
                <w:lang/>
              </w:rPr>
              <w:t>0.0007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3911" w:type="dxa"/>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民安街道</w:t>
            </w:r>
          </w:p>
        </w:tc>
        <w:tc>
          <w:tcPr>
            <w:tcW w:w="5375" w:type="dxa"/>
            <w:vAlign w:val="bottom"/>
          </w:tcPr>
          <w:p>
            <w:pPr>
              <w:widowControl/>
              <w:spacing w:line="240" w:lineRule="auto"/>
              <w:ind w:firstLine="0" w:firstLineChars="0"/>
              <w:jc w:val="center"/>
              <w:rPr>
                <w:color w:val="auto"/>
                <w:kern w:val="0"/>
                <w:sz w:val="21"/>
                <w:szCs w:val="21"/>
              </w:rPr>
            </w:pPr>
            <w:r>
              <w:rPr>
                <w:color w:val="auto"/>
                <w:kern w:val="0"/>
                <w:sz w:val="21"/>
                <w:szCs w:val="21"/>
                <w:lang/>
              </w:rPr>
              <w:t>2.4515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3911" w:type="dxa"/>
            <w:vAlign w:val="center"/>
          </w:tcPr>
          <w:p>
            <w:pPr>
              <w:widowControl/>
              <w:spacing w:line="240" w:lineRule="auto"/>
              <w:ind w:firstLine="0" w:firstLineChars="0"/>
              <w:jc w:val="center"/>
              <w:rPr>
                <w:color w:val="auto"/>
                <w:kern w:val="0"/>
                <w:sz w:val="21"/>
                <w:szCs w:val="21"/>
              </w:rPr>
            </w:pPr>
            <w:r>
              <w:rPr>
                <w:rFonts w:hint="eastAsia"/>
                <w:color w:val="auto"/>
                <w:kern w:val="0"/>
                <w:sz w:val="21"/>
                <w:szCs w:val="21"/>
              </w:rPr>
              <w:t>硇洲镇</w:t>
            </w:r>
          </w:p>
        </w:tc>
        <w:tc>
          <w:tcPr>
            <w:tcW w:w="5375" w:type="dxa"/>
            <w:vAlign w:val="bottom"/>
          </w:tcPr>
          <w:p>
            <w:pPr>
              <w:widowControl/>
              <w:spacing w:line="240" w:lineRule="auto"/>
              <w:ind w:firstLine="0" w:firstLineChars="0"/>
              <w:jc w:val="center"/>
              <w:rPr>
                <w:color w:val="auto"/>
                <w:kern w:val="0"/>
                <w:sz w:val="21"/>
                <w:szCs w:val="21"/>
              </w:rPr>
            </w:pPr>
            <w:r>
              <w:rPr>
                <w:color w:val="auto"/>
                <w:kern w:val="0"/>
                <w:sz w:val="21"/>
                <w:szCs w:val="21"/>
                <w:lang/>
              </w:rPr>
              <w:t>0.0232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3911" w:type="dxa"/>
            <w:vAlign w:val="center"/>
          </w:tcPr>
          <w:p>
            <w:pPr>
              <w:widowControl/>
              <w:spacing w:line="240" w:lineRule="auto"/>
              <w:ind w:firstLine="0" w:firstLineChars="0"/>
              <w:jc w:val="center"/>
              <w:rPr>
                <w:color w:val="auto"/>
                <w:kern w:val="0"/>
                <w:sz w:val="21"/>
                <w:szCs w:val="21"/>
              </w:rPr>
            </w:pPr>
            <w:r>
              <w:rPr>
                <w:color w:val="auto"/>
                <w:kern w:val="0"/>
                <w:sz w:val="21"/>
                <w:szCs w:val="21"/>
              </w:rPr>
              <w:t>合计</w:t>
            </w:r>
          </w:p>
        </w:tc>
        <w:tc>
          <w:tcPr>
            <w:tcW w:w="5375" w:type="dxa"/>
            <w:vAlign w:val="bottom"/>
          </w:tcPr>
          <w:p>
            <w:pPr>
              <w:widowControl/>
              <w:spacing w:line="240" w:lineRule="auto"/>
              <w:ind w:firstLine="0" w:firstLineChars="0"/>
              <w:jc w:val="center"/>
              <w:rPr>
                <w:color w:val="auto"/>
                <w:kern w:val="0"/>
                <w:sz w:val="21"/>
                <w:szCs w:val="21"/>
              </w:rPr>
            </w:pPr>
            <w:r>
              <w:rPr>
                <w:color w:val="auto"/>
                <w:kern w:val="0"/>
                <w:sz w:val="21"/>
                <w:szCs w:val="21"/>
                <w:lang/>
              </w:rPr>
              <w:t>3.0843</w:t>
            </w:r>
          </w:p>
        </w:tc>
      </w:tr>
    </w:tbl>
    <w:p>
      <w:pPr>
        <w:ind w:firstLine="480"/>
        <w:rPr>
          <w:color w:val="auto"/>
          <w:lang w:val="zh-CN"/>
        </w:rPr>
      </w:pPr>
    </w:p>
    <w:p>
      <w:pPr>
        <w:pStyle w:val="15"/>
        <w:spacing w:before="163" w:after="163"/>
        <w:rPr>
          <w:color w:val="auto"/>
        </w:rPr>
      </w:pPr>
      <w:bookmarkStart w:id="26" w:name="_Toc171516483"/>
      <w:r>
        <w:rPr>
          <w:rFonts w:hint="eastAsia"/>
          <w:color w:val="auto"/>
        </w:rPr>
        <w:t>风景名胜区</w:t>
      </w:r>
      <w:bookmarkEnd w:id="26"/>
    </w:p>
    <w:p>
      <w:pPr>
        <w:ind w:firstLine="480"/>
        <w:rPr>
          <w:color w:val="auto"/>
          <w:lang w:val="zh-CN"/>
        </w:rPr>
      </w:pPr>
      <w:r>
        <w:rPr>
          <w:rFonts w:hint="eastAsia"/>
          <w:color w:val="auto"/>
          <w:lang w:val="zh-CN"/>
        </w:rPr>
        <w:t>根据国务院公布的国家级风景名胜区名单及广东省风景名胜区名单，湛江经济技术开发区内无国家级及省级风景名胜区。</w:t>
      </w:r>
    </w:p>
    <w:p>
      <w:pPr>
        <w:pStyle w:val="15"/>
        <w:spacing w:before="163" w:after="163"/>
        <w:rPr>
          <w:color w:val="auto"/>
        </w:rPr>
      </w:pPr>
      <w:bookmarkStart w:id="27" w:name="_Toc171516484"/>
      <w:r>
        <w:rPr>
          <w:rFonts w:hint="eastAsia"/>
          <w:color w:val="auto"/>
        </w:rPr>
        <w:t>城镇居民区和文化教育科学研究区</w:t>
      </w:r>
      <w:bookmarkEnd w:id="27"/>
    </w:p>
    <w:p>
      <w:pPr>
        <w:ind w:firstLine="480"/>
        <w:rPr>
          <w:rStyle w:val="21"/>
          <w:rFonts w:hint="default" w:ascii="Times New Roman" w:hAnsi="Times New Roman" w:cs="Times New Roman"/>
          <w:color w:val="auto"/>
        </w:rPr>
      </w:pPr>
      <w:r>
        <w:rPr>
          <w:rFonts w:hint="eastAsia"/>
          <w:color w:val="auto"/>
          <w:lang w:val="zh-CN"/>
        </w:rPr>
        <w:t>本区划方案将城镇建成区划定为禁养区。城镇建成区主要包括：</w:t>
      </w:r>
      <w:r>
        <w:rPr>
          <w:rStyle w:val="21"/>
          <w:rFonts w:hint="default" w:ascii="Times New Roman" w:hAnsi="Times New Roman" w:cs="Times New Roman"/>
          <w:color w:val="auto"/>
        </w:rPr>
        <w:t>泉庄街道办事处、乐华街道办事处管辖的区域，东简街道、东山街道、民安街道、硇洲镇所划定的属于城镇开发边界范围内的区域。具体如下表所示：</w:t>
      </w:r>
    </w:p>
    <w:p>
      <w:pPr>
        <w:pStyle w:val="17"/>
        <w:rPr>
          <w:rStyle w:val="21"/>
          <w:rFonts w:hint="default" w:ascii="Times New Roman" w:hAnsi="Times New Roman"/>
          <w:color w:val="auto"/>
          <w:lang w:val="zh-CN"/>
        </w:rPr>
      </w:pPr>
      <w:r>
        <w:rPr>
          <w:rFonts w:hint="eastAsia"/>
          <w:color w:val="auto"/>
          <w:lang w:val="zh-CN"/>
        </w:rPr>
        <w:t>表4.2-2     禁养区自然保护区情况一览表（单位：平方公里）</w:t>
      </w:r>
    </w:p>
    <w:tbl>
      <w:tblPr>
        <w:tblStyle w:val="11"/>
        <w:tblW w:w="92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2093"/>
        <w:gridCol w:w="3358"/>
        <w:gridCol w:w="3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2093" w:type="dxa"/>
            <w:vAlign w:val="top"/>
          </w:tcPr>
          <w:p>
            <w:pPr>
              <w:widowControl/>
              <w:spacing w:line="240" w:lineRule="auto"/>
              <w:ind w:firstLine="0" w:firstLineChars="0"/>
              <w:jc w:val="center"/>
              <w:rPr>
                <w:b/>
                <w:bCs/>
                <w:color w:val="auto"/>
                <w:kern w:val="0"/>
                <w:sz w:val="22"/>
              </w:rPr>
            </w:pPr>
            <w:r>
              <w:rPr>
                <w:b/>
                <w:bCs/>
                <w:color w:val="auto"/>
                <w:kern w:val="0"/>
                <w:sz w:val="22"/>
              </w:rPr>
              <w:t>序号</w:t>
            </w:r>
          </w:p>
        </w:tc>
        <w:tc>
          <w:tcPr>
            <w:tcW w:w="3358" w:type="dxa"/>
            <w:vAlign w:val="center"/>
          </w:tcPr>
          <w:p>
            <w:pPr>
              <w:widowControl/>
              <w:spacing w:line="240" w:lineRule="auto"/>
              <w:ind w:firstLine="0" w:firstLineChars="0"/>
              <w:jc w:val="center"/>
              <w:rPr>
                <w:b/>
                <w:bCs/>
                <w:color w:val="auto"/>
                <w:kern w:val="0"/>
                <w:sz w:val="22"/>
              </w:rPr>
            </w:pPr>
            <w:r>
              <w:rPr>
                <w:b/>
                <w:bCs/>
                <w:color w:val="auto"/>
                <w:kern w:val="0"/>
                <w:sz w:val="22"/>
              </w:rPr>
              <w:t>行政区</w:t>
            </w:r>
          </w:p>
        </w:tc>
        <w:tc>
          <w:tcPr>
            <w:tcW w:w="3835" w:type="dxa"/>
            <w:vAlign w:val="top"/>
          </w:tcPr>
          <w:p>
            <w:pPr>
              <w:widowControl/>
              <w:spacing w:line="240" w:lineRule="auto"/>
              <w:ind w:firstLine="0" w:firstLineChars="0"/>
              <w:jc w:val="center"/>
              <w:rPr>
                <w:b/>
                <w:bCs/>
                <w:color w:val="auto"/>
                <w:kern w:val="0"/>
                <w:sz w:val="22"/>
              </w:rPr>
            </w:pPr>
            <w:r>
              <w:rPr>
                <w:rFonts w:hint="eastAsia"/>
                <w:b/>
                <w:bCs/>
                <w:color w:val="auto"/>
                <w:kern w:val="0"/>
                <w:sz w:val="22"/>
              </w:rPr>
              <w:t>城镇开发边界面积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2093" w:type="dxa"/>
            <w:vAlign w:val="top"/>
          </w:tcPr>
          <w:p>
            <w:pPr>
              <w:widowControl/>
              <w:spacing w:line="240" w:lineRule="auto"/>
              <w:ind w:firstLine="0" w:firstLineChars="0"/>
              <w:jc w:val="center"/>
              <w:rPr>
                <w:color w:val="auto"/>
                <w:kern w:val="0"/>
                <w:sz w:val="22"/>
              </w:rPr>
            </w:pPr>
            <w:r>
              <w:rPr>
                <w:rFonts w:hint="eastAsia"/>
                <w:color w:val="auto"/>
                <w:kern w:val="0"/>
                <w:sz w:val="22"/>
              </w:rPr>
              <w:t>1</w:t>
            </w:r>
          </w:p>
        </w:tc>
        <w:tc>
          <w:tcPr>
            <w:tcW w:w="3358" w:type="dxa"/>
            <w:vAlign w:val="center"/>
          </w:tcPr>
          <w:p>
            <w:pPr>
              <w:widowControl/>
              <w:spacing w:line="240" w:lineRule="auto"/>
              <w:ind w:firstLine="0" w:firstLineChars="0"/>
              <w:jc w:val="center"/>
              <w:rPr>
                <w:color w:val="auto"/>
                <w:kern w:val="0"/>
                <w:sz w:val="22"/>
              </w:rPr>
            </w:pPr>
            <w:r>
              <w:rPr>
                <w:rFonts w:hint="eastAsia"/>
                <w:color w:val="auto"/>
                <w:kern w:val="0"/>
                <w:sz w:val="22"/>
              </w:rPr>
              <w:t>泉庄街道、乐华街道</w:t>
            </w:r>
          </w:p>
        </w:tc>
        <w:tc>
          <w:tcPr>
            <w:tcW w:w="3835" w:type="dxa"/>
            <w:vAlign w:val="center"/>
          </w:tcPr>
          <w:p>
            <w:pPr>
              <w:widowControl/>
              <w:spacing w:line="240" w:lineRule="auto"/>
              <w:ind w:firstLine="0" w:firstLineChars="0"/>
              <w:jc w:val="center"/>
              <w:rPr>
                <w:color w:val="auto"/>
                <w:kern w:val="0"/>
                <w:sz w:val="22"/>
              </w:rPr>
            </w:pPr>
            <w:r>
              <w:rPr>
                <w:rFonts w:hint="eastAsia"/>
                <w:color w:val="auto"/>
                <w:kern w:val="0"/>
                <w:sz w:val="22"/>
              </w:rPr>
              <w:t>13.89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2093" w:type="dxa"/>
            <w:vAlign w:val="top"/>
          </w:tcPr>
          <w:p>
            <w:pPr>
              <w:widowControl/>
              <w:spacing w:line="240" w:lineRule="auto"/>
              <w:ind w:firstLine="0" w:firstLineChars="0"/>
              <w:jc w:val="center"/>
              <w:rPr>
                <w:color w:val="auto"/>
                <w:kern w:val="0"/>
                <w:sz w:val="22"/>
              </w:rPr>
            </w:pPr>
            <w:r>
              <w:rPr>
                <w:rFonts w:hint="eastAsia"/>
                <w:color w:val="auto"/>
                <w:kern w:val="0"/>
                <w:sz w:val="22"/>
              </w:rPr>
              <w:t>2</w:t>
            </w:r>
          </w:p>
        </w:tc>
        <w:tc>
          <w:tcPr>
            <w:tcW w:w="3358" w:type="dxa"/>
            <w:vAlign w:val="center"/>
          </w:tcPr>
          <w:p>
            <w:pPr>
              <w:widowControl/>
              <w:spacing w:line="240" w:lineRule="auto"/>
              <w:ind w:firstLine="0" w:firstLineChars="0"/>
              <w:jc w:val="center"/>
              <w:rPr>
                <w:color w:val="auto"/>
                <w:kern w:val="0"/>
                <w:sz w:val="22"/>
              </w:rPr>
            </w:pPr>
            <w:r>
              <w:rPr>
                <w:rFonts w:hint="eastAsia"/>
                <w:color w:val="auto"/>
                <w:kern w:val="0"/>
                <w:sz w:val="22"/>
              </w:rPr>
              <w:t>东简街道</w:t>
            </w:r>
          </w:p>
        </w:tc>
        <w:tc>
          <w:tcPr>
            <w:tcW w:w="3835" w:type="dxa"/>
            <w:vAlign w:val="center"/>
          </w:tcPr>
          <w:p>
            <w:pPr>
              <w:widowControl/>
              <w:spacing w:line="240" w:lineRule="auto"/>
              <w:ind w:firstLine="0" w:firstLineChars="0"/>
              <w:jc w:val="center"/>
              <w:rPr>
                <w:color w:val="auto"/>
                <w:kern w:val="0"/>
                <w:sz w:val="22"/>
              </w:rPr>
            </w:pPr>
            <w:r>
              <w:rPr>
                <w:color w:val="auto"/>
                <w:kern w:val="0"/>
                <w:sz w:val="22"/>
              </w:rPr>
              <w:t>41.72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2093" w:type="dxa"/>
            <w:vAlign w:val="top"/>
          </w:tcPr>
          <w:p>
            <w:pPr>
              <w:widowControl/>
              <w:spacing w:line="240" w:lineRule="auto"/>
              <w:ind w:firstLine="0" w:firstLineChars="0"/>
              <w:jc w:val="center"/>
              <w:rPr>
                <w:color w:val="auto"/>
                <w:kern w:val="0"/>
                <w:sz w:val="22"/>
              </w:rPr>
            </w:pPr>
            <w:r>
              <w:rPr>
                <w:rFonts w:hint="eastAsia"/>
                <w:color w:val="auto"/>
                <w:kern w:val="0"/>
                <w:sz w:val="22"/>
              </w:rPr>
              <w:t>3</w:t>
            </w:r>
          </w:p>
        </w:tc>
        <w:tc>
          <w:tcPr>
            <w:tcW w:w="3358" w:type="dxa"/>
            <w:vAlign w:val="center"/>
          </w:tcPr>
          <w:p>
            <w:pPr>
              <w:widowControl/>
              <w:spacing w:line="240" w:lineRule="auto"/>
              <w:ind w:firstLine="0" w:firstLineChars="0"/>
              <w:jc w:val="center"/>
              <w:rPr>
                <w:color w:val="auto"/>
                <w:kern w:val="0"/>
                <w:sz w:val="22"/>
              </w:rPr>
            </w:pPr>
            <w:r>
              <w:rPr>
                <w:rFonts w:hint="eastAsia"/>
                <w:color w:val="auto"/>
                <w:kern w:val="0"/>
                <w:sz w:val="22"/>
              </w:rPr>
              <w:t>东山街道</w:t>
            </w:r>
          </w:p>
        </w:tc>
        <w:tc>
          <w:tcPr>
            <w:tcW w:w="3835" w:type="dxa"/>
            <w:vAlign w:val="top"/>
          </w:tcPr>
          <w:p>
            <w:pPr>
              <w:widowControl/>
              <w:spacing w:line="240" w:lineRule="auto"/>
              <w:ind w:firstLine="0" w:firstLineChars="0"/>
              <w:jc w:val="center"/>
              <w:rPr>
                <w:color w:val="auto"/>
                <w:kern w:val="0"/>
                <w:sz w:val="22"/>
              </w:rPr>
            </w:pPr>
            <w:r>
              <w:rPr>
                <w:color w:val="auto"/>
                <w:kern w:val="0"/>
                <w:sz w:val="22"/>
              </w:rPr>
              <w:t>3</w:t>
            </w:r>
            <w:r>
              <w:rPr>
                <w:rFonts w:hint="eastAsia"/>
                <w:color w:val="auto"/>
                <w:kern w:val="0"/>
                <w:sz w:val="22"/>
              </w:rPr>
              <w:t>3.3</w:t>
            </w:r>
            <w:r>
              <w:rPr>
                <w:color w:val="auto"/>
                <w:kern w:val="0"/>
                <w:sz w:val="22"/>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2093" w:type="dxa"/>
            <w:vAlign w:val="top"/>
          </w:tcPr>
          <w:p>
            <w:pPr>
              <w:widowControl/>
              <w:spacing w:line="240" w:lineRule="auto"/>
              <w:ind w:firstLine="0" w:firstLineChars="0"/>
              <w:jc w:val="center"/>
              <w:rPr>
                <w:color w:val="auto"/>
                <w:kern w:val="0"/>
                <w:sz w:val="22"/>
              </w:rPr>
            </w:pPr>
            <w:r>
              <w:rPr>
                <w:rFonts w:hint="eastAsia"/>
                <w:color w:val="auto"/>
                <w:kern w:val="0"/>
                <w:sz w:val="22"/>
              </w:rPr>
              <w:t>4</w:t>
            </w:r>
          </w:p>
        </w:tc>
        <w:tc>
          <w:tcPr>
            <w:tcW w:w="3358" w:type="dxa"/>
            <w:vAlign w:val="center"/>
          </w:tcPr>
          <w:p>
            <w:pPr>
              <w:widowControl/>
              <w:spacing w:line="240" w:lineRule="auto"/>
              <w:ind w:firstLine="0" w:firstLineChars="0"/>
              <w:jc w:val="center"/>
              <w:rPr>
                <w:color w:val="auto"/>
                <w:kern w:val="0"/>
                <w:sz w:val="22"/>
              </w:rPr>
            </w:pPr>
            <w:r>
              <w:rPr>
                <w:rFonts w:hint="eastAsia"/>
                <w:color w:val="auto"/>
                <w:kern w:val="0"/>
                <w:sz w:val="22"/>
              </w:rPr>
              <w:t>民安街道</w:t>
            </w:r>
          </w:p>
        </w:tc>
        <w:tc>
          <w:tcPr>
            <w:tcW w:w="3835" w:type="dxa"/>
            <w:vAlign w:val="top"/>
          </w:tcPr>
          <w:p>
            <w:pPr>
              <w:widowControl/>
              <w:spacing w:line="240" w:lineRule="auto"/>
              <w:ind w:firstLine="0" w:firstLineChars="0"/>
              <w:jc w:val="center"/>
              <w:rPr>
                <w:color w:val="auto"/>
                <w:kern w:val="0"/>
                <w:sz w:val="22"/>
              </w:rPr>
            </w:pPr>
            <w:r>
              <w:rPr>
                <w:color w:val="auto"/>
                <w:kern w:val="0"/>
                <w:sz w:val="22"/>
              </w:rPr>
              <w:t xml:space="preserve">2.49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2093" w:type="dxa"/>
            <w:vAlign w:val="top"/>
          </w:tcPr>
          <w:p>
            <w:pPr>
              <w:widowControl/>
              <w:spacing w:line="240" w:lineRule="auto"/>
              <w:ind w:firstLine="0" w:firstLineChars="0"/>
              <w:jc w:val="center"/>
              <w:rPr>
                <w:color w:val="auto"/>
                <w:kern w:val="0"/>
                <w:sz w:val="22"/>
              </w:rPr>
            </w:pPr>
            <w:r>
              <w:rPr>
                <w:rFonts w:hint="eastAsia"/>
                <w:color w:val="auto"/>
                <w:kern w:val="0"/>
                <w:sz w:val="22"/>
              </w:rPr>
              <w:t>5</w:t>
            </w:r>
          </w:p>
        </w:tc>
        <w:tc>
          <w:tcPr>
            <w:tcW w:w="3358" w:type="dxa"/>
            <w:vAlign w:val="center"/>
          </w:tcPr>
          <w:p>
            <w:pPr>
              <w:widowControl/>
              <w:spacing w:line="240" w:lineRule="auto"/>
              <w:ind w:firstLine="0" w:firstLineChars="0"/>
              <w:jc w:val="center"/>
              <w:rPr>
                <w:color w:val="auto"/>
                <w:kern w:val="0"/>
                <w:sz w:val="22"/>
              </w:rPr>
            </w:pPr>
            <w:r>
              <w:rPr>
                <w:rFonts w:hint="eastAsia"/>
                <w:color w:val="auto"/>
                <w:kern w:val="0"/>
                <w:sz w:val="22"/>
              </w:rPr>
              <w:t>硇洲镇</w:t>
            </w:r>
          </w:p>
        </w:tc>
        <w:tc>
          <w:tcPr>
            <w:tcW w:w="3835" w:type="dxa"/>
            <w:vAlign w:val="top"/>
          </w:tcPr>
          <w:p>
            <w:pPr>
              <w:widowControl/>
              <w:spacing w:line="240" w:lineRule="auto"/>
              <w:ind w:firstLine="0" w:firstLineChars="0"/>
              <w:jc w:val="center"/>
              <w:rPr>
                <w:color w:val="auto"/>
                <w:kern w:val="0"/>
                <w:sz w:val="22"/>
              </w:rPr>
            </w:pPr>
            <w:r>
              <w:rPr>
                <w:color w:val="auto"/>
                <w:kern w:val="0"/>
                <w:sz w:val="22"/>
              </w:rPr>
              <w:t>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2093" w:type="dxa"/>
            <w:vAlign w:val="top"/>
          </w:tcPr>
          <w:p>
            <w:pPr>
              <w:widowControl/>
              <w:spacing w:line="240" w:lineRule="auto"/>
              <w:ind w:firstLine="0" w:firstLineChars="0"/>
              <w:jc w:val="center"/>
              <w:rPr>
                <w:color w:val="auto"/>
                <w:kern w:val="0"/>
                <w:sz w:val="22"/>
              </w:rPr>
            </w:pPr>
            <w:r>
              <w:rPr>
                <w:rFonts w:hint="eastAsia"/>
                <w:color w:val="auto"/>
                <w:kern w:val="0"/>
                <w:sz w:val="22"/>
              </w:rPr>
              <w:t>6</w:t>
            </w:r>
          </w:p>
        </w:tc>
        <w:tc>
          <w:tcPr>
            <w:tcW w:w="3358" w:type="dxa"/>
            <w:vAlign w:val="center"/>
          </w:tcPr>
          <w:p>
            <w:pPr>
              <w:widowControl/>
              <w:spacing w:line="240" w:lineRule="auto"/>
              <w:ind w:firstLine="0" w:firstLineChars="0"/>
              <w:jc w:val="center"/>
              <w:rPr>
                <w:color w:val="auto"/>
                <w:kern w:val="0"/>
                <w:sz w:val="22"/>
              </w:rPr>
            </w:pPr>
            <w:r>
              <w:rPr>
                <w:color w:val="auto"/>
                <w:kern w:val="0"/>
                <w:sz w:val="22"/>
              </w:rPr>
              <w:t>合计</w:t>
            </w:r>
          </w:p>
        </w:tc>
        <w:tc>
          <w:tcPr>
            <w:tcW w:w="3835" w:type="dxa"/>
            <w:vAlign w:val="top"/>
          </w:tcPr>
          <w:p>
            <w:pPr>
              <w:widowControl/>
              <w:spacing w:line="240" w:lineRule="auto"/>
              <w:ind w:firstLine="0" w:firstLineChars="0"/>
              <w:jc w:val="center"/>
              <w:rPr>
                <w:color w:val="auto"/>
                <w:kern w:val="0"/>
                <w:sz w:val="22"/>
              </w:rPr>
            </w:pPr>
            <w:r>
              <w:rPr>
                <w:rFonts w:hint="eastAsia"/>
                <w:color w:val="auto"/>
                <w:kern w:val="0"/>
                <w:sz w:val="22"/>
              </w:rPr>
              <w:t>94.41</w:t>
            </w:r>
          </w:p>
        </w:tc>
      </w:tr>
    </w:tbl>
    <w:p>
      <w:pPr>
        <w:ind w:firstLine="480"/>
        <w:rPr>
          <w:color w:val="auto"/>
          <w:lang w:val="zh-CN"/>
        </w:rPr>
      </w:pPr>
    </w:p>
    <w:p>
      <w:pPr>
        <w:pStyle w:val="15"/>
        <w:spacing w:before="163" w:after="163"/>
        <w:rPr>
          <w:color w:val="auto"/>
        </w:rPr>
      </w:pPr>
      <w:bookmarkStart w:id="28" w:name="_Toc171516485"/>
      <w:r>
        <w:rPr>
          <w:rFonts w:hint="eastAsia"/>
          <w:color w:val="auto"/>
        </w:rPr>
        <w:t>划定结果</w:t>
      </w:r>
      <w:bookmarkEnd w:id="28"/>
    </w:p>
    <w:p>
      <w:pPr>
        <w:ind w:firstLine="480"/>
        <w:rPr>
          <w:color w:val="auto"/>
          <w:lang w:val="zh-CN"/>
        </w:rPr>
      </w:pPr>
      <w:r>
        <w:rPr>
          <w:rFonts w:hint="eastAsia"/>
          <w:color w:val="auto"/>
          <w:lang w:val="zh-CN"/>
        </w:rPr>
        <w:t>根据《中华人民共和国畜牧法》、《畜禽规模养殖污染防治条例》、《畜禽养殖禁养区划定技术指南》、《畜禽养殖业污染防治技术规范》、《广东省环境保护条例》，本报告将饮用水源保护区、人口集中区域（城镇居民区、文化教育科学研究区等）及生态保护红线边界（包含自然保护区）内的区域划为禁养区，其中有部分区域出现重叠，因此，对重叠部分进行剔除，剔除后禁养区面积见下表：</w:t>
      </w:r>
    </w:p>
    <w:p>
      <w:pPr>
        <w:pStyle w:val="17"/>
        <w:rPr>
          <w:color w:val="auto"/>
          <w:lang w:val="zh-CN"/>
        </w:rPr>
      </w:pPr>
      <w:r>
        <w:rPr>
          <w:rFonts w:hint="eastAsia"/>
          <w:color w:val="auto"/>
          <w:lang w:val="zh-CN"/>
        </w:rPr>
        <w:t>表4.2-2     禁养区自然保护区情况一览表（单位：公顷）</w:t>
      </w:r>
    </w:p>
    <w:tbl>
      <w:tblPr>
        <w:tblStyle w:val="11"/>
        <w:tblW w:w="92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1261"/>
        <w:gridCol w:w="4853"/>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1261" w:type="dxa"/>
            <w:vAlign w:val="top"/>
          </w:tcPr>
          <w:p>
            <w:pPr>
              <w:widowControl/>
              <w:spacing w:line="240" w:lineRule="auto"/>
              <w:ind w:firstLine="0" w:firstLineChars="0"/>
              <w:jc w:val="center"/>
              <w:rPr>
                <w:b/>
                <w:bCs/>
                <w:color w:val="auto"/>
                <w:kern w:val="0"/>
                <w:sz w:val="22"/>
              </w:rPr>
            </w:pPr>
            <w:r>
              <w:rPr>
                <w:b/>
                <w:bCs/>
                <w:color w:val="auto"/>
                <w:kern w:val="0"/>
                <w:sz w:val="22"/>
              </w:rPr>
              <w:t>序号</w:t>
            </w:r>
          </w:p>
        </w:tc>
        <w:tc>
          <w:tcPr>
            <w:tcW w:w="4853" w:type="dxa"/>
            <w:vAlign w:val="top"/>
          </w:tcPr>
          <w:p>
            <w:pPr>
              <w:widowControl/>
              <w:spacing w:line="240" w:lineRule="auto"/>
              <w:ind w:firstLine="0" w:firstLineChars="0"/>
              <w:jc w:val="center"/>
              <w:rPr>
                <w:b/>
                <w:bCs/>
                <w:color w:val="auto"/>
                <w:kern w:val="0"/>
                <w:sz w:val="22"/>
              </w:rPr>
            </w:pPr>
            <w:r>
              <w:rPr>
                <w:b/>
                <w:bCs/>
                <w:color w:val="auto"/>
                <w:kern w:val="0"/>
                <w:sz w:val="22"/>
              </w:rPr>
              <w:t>名称</w:t>
            </w:r>
          </w:p>
        </w:tc>
        <w:tc>
          <w:tcPr>
            <w:tcW w:w="3172" w:type="dxa"/>
            <w:vAlign w:val="center"/>
          </w:tcPr>
          <w:p>
            <w:pPr>
              <w:widowControl/>
              <w:spacing w:line="240" w:lineRule="auto"/>
              <w:ind w:firstLine="0" w:firstLineChars="0"/>
              <w:jc w:val="center"/>
              <w:rPr>
                <w:b/>
                <w:bCs/>
                <w:color w:val="auto"/>
                <w:kern w:val="0"/>
                <w:sz w:val="22"/>
              </w:rPr>
            </w:pPr>
            <w:r>
              <w:rPr>
                <w:rFonts w:hint="eastAsia"/>
                <w:b/>
                <w:bCs/>
                <w:color w:val="auto"/>
                <w:kern w:val="0"/>
                <w:sz w:val="22"/>
              </w:rPr>
              <w:t>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1261" w:type="dxa"/>
            <w:vAlign w:val="top"/>
          </w:tcPr>
          <w:p>
            <w:pPr>
              <w:widowControl/>
              <w:spacing w:line="240" w:lineRule="auto"/>
              <w:ind w:firstLine="0" w:firstLineChars="0"/>
              <w:jc w:val="center"/>
              <w:rPr>
                <w:color w:val="auto"/>
                <w:kern w:val="0"/>
                <w:sz w:val="22"/>
              </w:rPr>
            </w:pPr>
            <w:r>
              <w:rPr>
                <w:rFonts w:hint="eastAsia"/>
                <w:color w:val="auto"/>
                <w:kern w:val="0"/>
                <w:sz w:val="22"/>
              </w:rPr>
              <w:t>1</w:t>
            </w:r>
          </w:p>
        </w:tc>
        <w:tc>
          <w:tcPr>
            <w:tcW w:w="4853" w:type="dxa"/>
            <w:vAlign w:val="top"/>
          </w:tcPr>
          <w:p>
            <w:pPr>
              <w:widowControl/>
              <w:spacing w:line="240" w:lineRule="auto"/>
              <w:ind w:firstLine="0" w:firstLineChars="0"/>
              <w:jc w:val="center"/>
              <w:rPr>
                <w:color w:val="auto"/>
                <w:kern w:val="0"/>
                <w:sz w:val="22"/>
              </w:rPr>
            </w:pPr>
            <w:r>
              <w:rPr>
                <w:rFonts w:hint="eastAsia"/>
                <w:color w:val="auto"/>
                <w:kern w:val="0"/>
                <w:sz w:val="22"/>
              </w:rPr>
              <w:t>饮用水水源保护区</w:t>
            </w:r>
          </w:p>
        </w:tc>
        <w:tc>
          <w:tcPr>
            <w:tcW w:w="3172" w:type="dxa"/>
            <w:vAlign w:val="center"/>
          </w:tcPr>
          <w:p>
            <w:pPr>
              <w:widowControl/>
              <w:spacing w:line="240" w:lineRule="auto"/>
              <w:ind w:firstLine="0" w:firstLineChars="0"/>
              <w:jc w:val="center"/>
              <w:rPr>
                <w:color w:val="auto"/>
                <w:kern w:val="0"/>
                <w:sz w:val="22"/>
              </w:rPr>
            </w:pPr>
            <w:r>
              <w:rPr>
                <w:rFonts w:hint="eastAsia"/>
                <w:color w:val="auto"/>
                <w:kern w:val="0"/>
                <w:sz w:val="22"/>
              </w:rPr>
              <w:t>133.21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1261" w:type="dxa"/>
            <w:vAlign w:val="top"/>
          </w:tcPr>
          <w:p>
            <w:pPr>
              <w:widowControl/>
              <w:spacing w:line="240" w:lineRule="auto"/>
              <w:ind w:firstLine="0" w:firstLineChars="0"/>
              <w:jc w:val="center"/>
              <w:rPr>
                <w:color w:val="auto"/>
                <w:kern w:val="0"/>
                <w:sz w:val="22"/>
              </w:rPr>
            </w:pPr>
            <w:r>
              <w:rPr>
                <w:rFonts w:hint="eastAsia"/>
                <w:color w:val="auto"/>
                <w:kern w:val="0"/>
                <w:sz w:val="22"/>
              </w:rPr>
              <w:t>2</w:t>
            </w:r>
          </w:p>
        </w:tc>
        <w:tc>
          <w:tcPr>
            <w:tcW w:w="4853" w:type="dxa"/>
            <w:vAlign w:val="top"/>
          </w:tcPr>
          <w:p>
            <w:pPr>
              <w:widowControl/>
              <w:spacing w:line="240" w:lineRule="auto"/>
              <w:ind w:firstLine="0" w:firstLineChars="0"/>
              <w:jc w:val="center"/>
              <w:rPr>
                <w:color w:val="auto"/>
                <w:kern w:val="0"/>
                <w:sz w:val="22"/>
              </w:rPr>
            </w:pPr>
            <w:r>
              <w:rPr>
                <w:rFonts w:hint="eastAsia"/>
                <w:color w:val="auto"/>
                <w:kern w:val="0"/>
                <w:sz w:val="22"/>
              </w:rPr>
              <w:t>生态红线</w:t>
            </w:r>
          </w:p>
        </w:tc>
        <w:tc>
          <w:tcPr>
            <w:tcW w:w="3172" w:type="dxa"/>
            <w:vAlign w:val="center"/>
          </w:tcPr>
          <w:p>
            <w:pPr>
              <w:widowControl/>
              <w:spacing w:line="240" w:lineRule="auto"/>
              <w:ind w:firstLine="0" w:firstLineChars="0"/>
              <w:jc w:val="center"/>
              <w:rPr>
                <w:color w:val="auto"/>
                <w:kern w:val="0"/>
                <w:sz w:val="22"/>
              </w:rPr>
            </w:pPr>
            <w:r>
              <w:rPr>
                <w:rFonts w:hint="eastAsia"/>
                <w:color w:val="auto"/>
                <w:kern w:val="0"/>
                <w:sz w:val="22"/>
              </w:rPr>
              <w:t>308.43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1261" w:type="dxa"/>
            <w:vAlign w:val="top"/>
          </w:tcPr>
          <w:p>
            <w:pPr>
              <w:widowControl/>
              <w:spacing w:line="240" w:lineRule="auto"/>
              <w:ind w:firstLine="0" w:firstLineChars="0"/>
              <w:jc w:val="center"/>
              <w:rPr>
                <w:color w:val="auto"/>
                <w:kern w:val="0"/>
                <w:sz w:val="22"/>
              </w:rPr>
            </w:pPr>
            <w:r>
              <w:rPr>
                <w:rFonts w:hint="eastAsia"/>
                <w:color w:val="auto"/>
                <w:kern w:val="0"/>
                <w:sz w:val="22"/>
              </w:rPr>
              <w:t>3</w:t>
            </w:r>
          </w:p>
        </w:tc>
        <w:tc>
          <w:tcPr>
            <w:tcW w:w="4853" w:type="dxa"/>
            <w:vAlign w:val="top"/>
          </w:tcPr>
          <w:p>
            <w:pPr>
              <w:widowControl/>
              <w:spacing w:line="240" w:lineRule="auto"/>
              <w:ind w:firstLine="0" w:firstLineChars="0"/>
              <w:jc w:val="center"/>
              <w:rPr>
                <w:color w:val="auto"/>
                <w:kern w:val="0"/>
                <w:sz w:val="22"/>
              </w:rPr>
            </w:pPr>
            <w:r>
              <w:rPr>
                <w:rFonts w:hint="eastAsia"/>
                <w:color w:val="auto"/>
                <w:kern w:val="0"/>
                <w:sz w:val="22"/>
              </w:rPr>
              <w:t>风景名胜区</w:t>
            </w:r>
          </w:p>
        </w:tc>
        <w:tc>
          <w:tcPr>
            <w:tcW w:w="3172" w:type="dxa"/>
            <w:vAlign w:val="center"/>
          </w:tcPr>
          <w:p>
            <w:pPr>
              <w:widowControl/>
              <w:spacing w:line="240" w:lineRule="auto"/>
              <w:ind w:firstLine="0" w:firstLineChars="0"/>
              <w:jc w:val="center"/>
              <w:rPr>
                <w:color w:val="auto"/>
                <w:kern w:val="0"/>
                <w:sz w:val="22"/>
              </w:rPr>
            </w:pPr>
            <w:r>
              <w:rPr>
                <w:rFonts w:hint="eastAsia"/>
                <w:color w:val="auto"/>
                <w:kern w:val="0"/>
                <w:sz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1261" w:type="dxa"/>
            <w:vAlign w:val="top"/>
          </w:tcPr>
          <w:p>
            <w:pPr>
              <w:widowControl/>
              <w:spacing w:line="240" w:lineRule="auto"/>
              <w:ind w:firstLine="0" w:firstLineChars="0"/>
              <w:jc w:val="center"/>
              <w:rPr>
                <w:color w:val="auto"/>
                <w:kern w:val="0"/>
                <w:sz w:val="22"/>
              </w:rPr>
            </w:pPr>
            <w:r>
              <w:rPr>
                <w:rFonts w:hint="eastAsia"/>
                <w:color w:val="auto"/>
                <w:kern w:val="0"/>
                <w:sz w:val="22"/>
              </w:rPr>
              <w:t>4</w:t>
            </w:r>
          </w:p>
        </w:tc>
        <w:tc>
          <w:tcPr>
            <w:tcW w:w="4853" w:type="dxa"/>
            <w:vAlign w:val="top"/>
          </w:tcPr>
          <w:p>
            <w:pPr>
              <w:widowControl/>
              <w:spacing w:line="240" w:lineRule="auto"/>
              <w:ind w:firstLine="0" w:firstLineChars="0"/>
              <w:jc w:val="center"/>
              <w:rPr>
                <w:color w:val="auto"/>
                <w:kern w:val="0"/>
                <w:sz w:val="22"/>
              </w:rPr>
            </w:pPr>
            <w:r>
              <w:rPr>
                <w:rFonts w:hint="eastAsia"/>
                <w:color w:val="auto"/>
                <w:kern w:val="0"/>
                <w:sz w:val="22"/>
              </w:rPr>
              <w:t>城镇居民区和文化教育科学研究区</w:t>
            </w:r>
          </w:p>
        </w:tc>
        <w:tc>
          <w:tcPr>
            <w:tcW w:w="3172" w:type="dxa"/>
            <w:vAlign w:val="center"/>
          </w:tcPr>
          <w:p>
            <w:pPr>
              <w:widowControl/>
              <w:spacing w:line="240" w:lineRule="auto"/>
              <w:ind w:firstLine="0" w:firstLineChars="0"/>
              <w:jc w:val="center"/>
              <w:rPr>
                <w:color w:val="auto"/>
                <w:kern w:val="0"/>
                <w:sz w:val="22"/>
              </w:rPr>
            </w:pPr>
            <w:r>
              <w:rPr>
                <w:rFonts w:hint="eastAsia"/>
                <w:color w:val="auto"/>
                <w:kern w:val="0"/>
                <w:sz w:val="22"/>
              </w:rPr>
              <w:t>9441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1261" w:type="dxa"/>
            <w:vAlign w:val="top"/>
          </w:tcPr>
          <w:p>
            <w:pPr>
              <w:widowControl/>
              <w:spacing w:line="240" w:lineRule="auto"/>
              <w:ind w:firstLine="0" w:firstLineChars="0"/>
              <w:jc w:val="center"/>
              <w:rPr>
                <w:color w:val="auto"/>
                <w:kern w:val="0"/>
                <w:sz w:val="22"/>
              </w:rPr>
            </w:pPr>
            <w:r>
              <w:rPr>
                <w:rFonts w:hint="eastAsia"/>
                <w:color w:val="auto"/>
                <w:kern w:val="0"/>
                <w:sz w:val="22"/>
              </w:rPr>
              <w:t>5</w:t>
            </w:r>
          </w:p>
        </w:tc>
        <w:tc>
          <w:tcPr>
            <w:tcW w:w="4853" w:type="dxa"/>
            <w:vAlign w:val="top"/>
          </w:tcPr>
          <w:p>
            <w:pPr>
              <w:widowControl/>
              <w:spacing w:line="240" w:lineRule="auto"/>
              <w:ind w:firstLine="0" w:firstLineChars="0"/>
              <w:jc w:val="center"/>
              <w:rPr>
                <w:color w:val="auto"/>
                <w:kern w:val="0"/>
                <w:sz w:val="22"/>
              </w:rPr>
            </w:pPr>
            <w:r>
              <w:rPr>
                <w:rFonts w:hint="eastAsia"/>
                <w:color w:val="auto"/>
                <w:kern w:val="0"/>
                <w:sz w:val="22"/>
              </w:rPr>
              <w:t>重叠部分</w:t>
            </w:r>
          </w:p>
        </w:tc>
        <w:tc>
          <w:tcPr>
            <w:tcW w:w="3172" w:type="dxa"/>
            <w:vAlign w:val="center"/>
          </w:tcPr>
          <w:p>
            <w:pPr>
              <w:widowControl/>
              <w:spacing w:line="240" w:lineRule="auto"/>
              <w:ind w:firstLine="0" w:firstLineChars="0"/>
              <w:jc w:val="center"/>
              <w:rPr>
                <w:color w:val="auto"/>
                <w:kern w:val="0"/>
                <w:sz w:val="22"/>
              </w:rPr>
            </w:pPr>
            <w:r>
              <w:rPr>
                <w:rFonts w:hint="eastAsia"/>
                <w:color w:val="auto"/>
                <w:kern w:val="0"/>
                <w:sz w:val="22"/>
              </w:rPr>
              <w:t>3102.47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Ex>
        <w:trPr>
          <w:trHeight w:val="340" w:hRule="atLeast"/>
        </w:trPr>
        <w:tc>
          <w:tcPr>
            <w:tcW w:w="1261" w:type="dxa"/>
            <w:vAlign w:val="top"/>
          </w:tcPr>
          <w:p>
            <w:pPr>
              <w:widowControl/>
              <w:spacing w:line="240" w:lineRule="auto"/>
              <w:ind w:firstLine="0" w:firstLineChars="0"/>
              <w:jc w:val="center"/>
              <w:rPr>
                <w:color w:val="auto"/>
                <w:kern w:val="0"/>
                <w:sz w:val="22"/>
              </w:rPr>
            </w:pPr>
            <w:r>
              <w:rPr>
                <w:rFonts w:hint="eastAsia"/>
                <w:color w:val="auto"/>
                <w:kern w:val="0"/>
                <w:sz w:val="22"/>
              </w:rPr>
              <w:t>6</w:t>
            </w:r>
          </w:p>
        </w:tc>
        <w:tc>
          <w:tcPr>
            <w:tcW w:w="4853" w:type="dxa"/>
            <w:vAlign w:val="top"/>
          </w:tcPr>
          <w:p>
            <w:pPr>
              <w:widowControl/>
              <w:spacing w:line="240" w:lineRule="auto"/>
              <w:ind w:firstLine="0" w:firstLineChars="0"/>
              <w:jc w:val="center"/>
              <w:rPr>
                <w:color w:val="auto"/>
                <w:kern w:val="0"/>
                <w:sz w:val="22"/>
              </w:rPr>
            </w:pPr>
            <w:r>
              <w:rPr>
                <w:color w:val="auto"/>
                <w:kern w:val="0"/>
                <w:sz w:val="22"/>
              </w:rPr>
              <w:t>禁养区合计</w:t>
            </w:r>
          </w:p>
        </w:tc>
        <w:tc>
          <w:tcPr>
            <w:tcW w:w="3172" w:type="dxa"/>
            <w:vAlign w:val="center"/>
          </w:tcPr>
          <w:p>
            <w:pPr>
              <w:widowControl/>
              <w:spacing w:line="240" w:lineRule="auto"/>
              <w:ind w:firstLine="0" w:firstLineChars="0"/>
              <w:jc w:val="center"/>
              <w:rPr>
                <w:color w:val="auto"/>
                <w:kern w:val="0"/>
                <w:sz w:val="22"/>
              </w:rPr>
            </w:pPr>
            <w:r>
              <w:rPr>
                <w:rFonts w:hint="eastAsia"/>
                <w:color w:val="auto"/>
                <w:kern w:val="0"/>
                <w:sz w:val="22"/>
              </w:rPr>
              <w:t>6780.17</w:t>
            </w:r>
          </w:p>
        </w:tc>
      </w:tr>
    </w:tbl>
    <w:p>
      <w:pPr>
        <w:ind w:firstLine="480"/>
        <w:rPr>
          <w:color w:val="auto"/>
          <w:lang w:val="zh-CN"/>
        </w:rPr>
      </w:pPr>
    </w:p>
    <w:p>
      <w:pPr>
        <w:ind w:firstLine="480"/>
        <w:rPr>
          <w:color w:val="auto"/>
          <w:lang w:val="zh-CN"/>
        </w:rPr>
        <w:sectPr>
          <w:pgSz w:w="11906" w:h="16838"/>
          <w:pgMar w:top="1418" w:right="1418" w:bottom="1418" w:left="1418" w:header="851" w:footer="992" w:gutter="0"/>
          <w:cols w:space="425" w:num="1"/>
          <w:docGrid w:type="lines" w:linePitch="326" w:charSpace="0"/>
        </w:sectPr>
      </w:pPr>
    </w:p>
    <w:p>
      <w:pPr>
        <w:pStyle w:val="13"/>
        <w:spacing w:before="163" w:after="163"/>
        <w:rPr>
          <w:color w:val="auto"/>
        </w:rPr>
      </w:pPr>
      <w:bookmarkStart w:id="29" w:name="_Toc171516486"/>
      <w:r>
        <w:rPr>
          <w:rFonts w:hint="eastAsia"/>
          <w:color w:val="auto"/>
          <w:lang w:val="en-US"/>
        </w:rPr>
        <w:t>管理要求</w:t>
      </w:r>
      <w:bookmarkEnd w:id="29"/>
    </w:p>
    <w:p>
      <w:pPr>
        <w:ind w:firstLine="480"/>
        <w:rPr>
          <w:rFonts w:hint="eastAsia" w:eastAsia="宋体" w:cs="Times New Roman"/>
          <w:color w:val="auto"/>
          <w:kern w:val="0"/>
          <w:szCs w:val="24"/>
        </w:rPr>
      </w:pPr>
      <w:r>
        <w:rPr>
          <w:rFonts w:cs="Times New Roman"/>
          <w:color w:val="auto"/>
        </w:rPr>
        <w:t>本方案适用的管理对象为养殖场、养殖小区；养殖专业户、散养户</w:t>
      </w:r>
      <w:r>
        <w:rPr>
          <w:rFonts w:eastAsia="宋体" w:cs="Times New Roman"/>
          <w:color w:val="auto"/>
          <w:kern w:val="0"/>
          <w:szCs w:val="24"/>
        </w:rPr>
        <w:t>应参照《畜禽规模养殖污染防治条例》等法律法规中的有关规定履行环保义务。</w:t>
      </w:r>
    </w:p>
    <w:p>
      <w:pPr>
        <w:pStyle w:val="14"/>
        <w:spacing w:before="163" w:after="163"/>
        <w:rPr>
          <w:color w:val="auto"/>
        </w:rPr>
      </w:pPr>
      <w:bookmarkStart w:id="30" w:name="_Toc171516487"/>
      <w:r>
        <w:rPr>
          <w:color w:val="auto"/>
        </w:rPr>
        <w:t>禁养区管理要求</w:t>
      </w:r>
      <w:bookmarkEnd w:id="30"/>
    </w:p>
    <w:p>
      <w:pPr>
        <w:ind w:firstLine="480"/>
        <w:rPr>
          <w:rFonts w:eastAsia="宋体" w:cs="Times New Roman"/>
          <w:color w:val="auto"/>
          <w:kern w:val="0"/>
          <w:szCs w:val="24"/>
        </w:rPr>
      </w:pPr>
      <w:r>
        <w:rPr>
          <w:rFonts w:eastAsia="宋体" w:cs="Times New Roman"/>
          <w:color w:val="auto"/>
          <w:kern w:val="0"/>
          <w:szCs w:val="24"/>
        </w:rPr>
        <w:t>（1）对区内所有畜禽养殖场、养殖专业户和散养户进行全面排查，建立养殖场（户）粪污防治档案。</w:t>
      </w:r>
    </w:p>
    <w:p>
      <w:pPr>
        <w:ind w:firstLine="480"/>
        <w:rPr>
          <w:rFonts w:ascii="宋体" w:hAnsi="宋体" w:eastAsia="宋体" w:cs="宋体"/>
          <w:color w:val="auto"/>
          <w:kern w:val="0"/>
          <w:szCs w:val="24"/>
        </w:rPr>
      </w:pPr>
      <w:r>
        <w:rPr>
          <w:rFonts w:eastAsia="宋体" w:cs="Times New Roman"/>
          <w:color w:val="auto"/>
          <w:kern w:val="0"/>
          <w:szCs w:val="24"/>
        </w:rPr>
        <w:t>（</w:t>
      </w:r>
      <w:r>
        <w:rPr>
          <w:rFonts w:hint="eastAsia" w:eastAsia="宋体" w:cs="Times New Roman"/>
          <w:color w:val="auto"/>
          <w:kern w:val="0"/>
          <w:szCs w:val="24"/>
        </w:rPr>
        <w:t>2</w:t>
      </w:r>
      <w:r>
        <w:rPr>
          <w:rFonts w:eastAsia="宋体" w:cs="Times New Roman"/>
          <w:color w:val="auto"/>
          <w:kern w:val="0"/>
          <w:szCs w:val="24"/>
        </w:rPr>
        <w:t>）</w:t>
      </w:r>
      <w:r>
        <w:rPr>
          <w:rFonts w:hint="eastAsia" w:cs="Times New Roman"/>
          <w:color w:val="auto"/>
        </w:rPr>
        <w:t>划定的畜禽养殖禁养区范围内</w:t>
      </w:r>
      <w:r>
        <w:rPr>
          <w:rFonts w:hint="eastAsia"/>
          <w:color w:val="auto"/>
        </w:rPr>
        <w:t>严禁新建、改建、扩建各类畜禽养殖场和养殖小区（风景名胜区非核心景区、饮用水水源二级保护区实现粪污全量资源化不排放污染的畜禽养殖场除外），已建成的畜禽养殖场、养殖小区污染物排放要满足《畜禽养殖场污染物排放标准》要求，并限期完成搬迁或依法关闭、转产。在规定时间内未完成搬迁或关闭的，由</w:t>
      </w:r>
      <w:r>
        <w:rPr>
          <w:rFonts w:hint="eastAsia"/>
          <w:color w:val="auto"/>
          <w:lang w:eastAsia="zh-CN"/>
        </w:rPr>
        <w:t>区农业部门、区生态环境部门</w:t>
      </w:r>
      <w:r>
        <w:rPr>
          <w:rFonts w:hint="eastAsia"/>
          <w:color w:val="auto"/>
        </w:rPr>
        <w:t>牵头，区</w:t>
      </w:r>
      <w:r>
        <w:rPr>
          <w:rFonts w:hint="eastAsia"/>
          <w:color w:val="auto"/>
          <w:lang w:eastAsia="zh-CN"/>
        </w:rPr>
        <w:t>国土部门</w:t>
      </w:r>
      <w:r>
        <w:rPr>
          <w:rFonts w:hint="eastAsia"/>
          <w:color w:val="auto"/>
        </w:rPr>
        <w:t>、</w:t>
      </w:r>
      <w:r>
        <w:rPr>
          <w:rFonts w:hint="eastAsia"/>
          <w:color w:val="auto"/>
          <w:lang w:eastAsia="zh-CN"/>
        </w:rPr>
        <w:t>区住建部门</w:t>
      </w:r>
      <w:r>
        <w:rPr>
          <w:rFonts w:hint="eastAsia"/>
          <w:color w:val="auto"/>
        </w:rPr>
        <w:t>、公安分局等部门配合，责令其停止违法行为；拒不停止违法行为的，按照有关规定给予处罚，并报</w:t>
      </w:r>
      <w:r>
        <w:rPr>
          <w:rFonts w:hint="eastAsia"/>
          <w:color w:val="auto"/>
          <w:lang w:eastAsia="zh-CN"/>
        </w:rPr>
        <w:t>区管委会</w:t>
      </w:r>
      <w:r>
        <w:rPr>
          <w:rFonts w:hint="eastAsia"/>
          <w:color w:val="auto"/>
        </w:rPr>
        <w:t>批准后拆除或者关闭。</w:t>
      </w:r>
    </w:p>
    <w:p>
      <w:pPr>
        <w:ind w:firstLine="480"/>
        <w:rPr>
          <w:color w:val="auto"/>
        </w:rPr>
      </w:pPr>
      <w:r>
        <w:rPr>
          <w:rFonts w:hint="eastAsia"/>
          <w:color w:val="auto"/>
        </w:rPr>
        <w:t>（3）禁养区内畜禽养殖场、养殖小区搬迁、关闭和整治完成后，各乡镇要加强对治理情况的巡查督查，发现问题，及时整改到位，坚决防止“反弹”、“复养”现象发生。</w:t>
      </w:r>
    </w:p>
    <w:p>
      <w:pPr>
        <w:ind w:firstLine="480"/>
        <w:rPr>
          <w:color w:val="auto"/>
        </w:rPr>
      </w:pPr>
      <w:r>
        <w:rPr>
          <w:rFonts w:hint="eastAsia"/>
          <w:color w:val="auto"/>
        </w:rPr>
        <w:t>（4）禁养区内</w:t>
      </w:r>
      <w:r>
        <w:rPr>
          <w:rFonts w:eastAsia="宋体" w:cs="Times New Roman"/>
          <w:color w:val="auto"/>
          <w:kern w:val="0"/>
          <w:szCs w:val="24"/>
        </w:rPr>
        <w:t>养殖专业户和散养户</w:t>
      </w:r>
      <w:r>
        <w:rPr>
          <w:rFonts w:hint="eastAsia"/>
          <w:color w:val="auto"/>
        </w:rPr>
        <w:t>必须建设达标粪污处理设施，不得设置排污口或露天堆放粪便，粪污需100%综合利用，满足全量资源化要求。</w:t>
      </w:r>
    </w:p>
    <w:p>
      <w:pPr>
        <w:ind w:firstLine="480"/>
        <w:rPr>
          <w:rFonts w:hint="eastAsia"/>
          <w:color w:val="auto"/>
        </w:rPr>
      </w:pPr>
      <w:r>
        <w:rPr>
          <w:rFonts w:hint="eastAsia"/>
          <w:color w:val="auto"/>
        </w:rPr>
        <w:t>（5）教学、科研以及其他特殊需要饲养的，须经市政、环境、卫生等行政主管部门批准。</w:t>
      </w:r>
    </w:p>
    <w:p>
      <w:pPr>
        <w:pStyle w:val="14"/>
        <w:spacing w:before="163" w:after="163"/>
        <w:rPr>
          <w:color w:val="auto"/>
        </w:rPr>
      </w:pPr>
      <w:bookmarkStart w:id="31" w:name="_Toc171516488"/>
      <w:r>
        <w:rPr>
          <w:color w:val="auto"/>
        </w:rPr>
        <w:t>非禁养区管理要求</w:t>
      </w:r>
      <w:bookmarkEnd w:id="31"/>
      <w:bookmarkStart w:id="38" w:name="_GoBack"/>
      <w:bookmarkEnd w:id="38"/>
    </w:p>
    <w:p>
      <w:pPr>
        <w:ind w:firstLine="480"/>
        <w:rPr>
          <w:color w:val="auto"/>
        </w:rPr>
      </w:pPr>
      <w:r>
        <w:rPr>
          <w:rFonts w:hint="eastAsia"/>
          <w:color w:val="auto"/>
        </w:rPr>
        <w:t>（1）非禁养区内发展畜禽养殖必须坚持“以地定畜，以畜定养，种养结合，资源化循环利用”的原则。</w:t>
      </w:r>
    </w:p>
    <w:p>
      <w:pPr>
        <w:ind w:firstLine="480"/>
        <w:rPr>
          <w:color w:val="auto"/>
        </w:rPr>
      </w:pPr>
      <w:r>
        <w:rPr>
          <w:rFonts w:hint="eastAsia"/>
          <w:color w:val="auto"/>
        </w:rPr>
        <w:t>（2）应依照城乡发展规划和土地利用总体规划提倡适度规模化养殖，优化养殖布局。以区域环境承载力为基础，遵循总量适度、动态平衡、优化结构的原则，科学合理地确定饲养畜禽品种、规模。</w:t>
      </w:r>
    </w:p>
    <w:p>
      <w:pPr>
        <w:ind w:firstLine="480"/>
        <w:rPr>
          <w:color w:val="auto"/>
        </w:rPr>
      </w:pPr>
      <w:r>
        <w:rPr>
          <w:rFonts w:hint="eastAsia"/>
          <w:color w:val="auto"/>
        </w:rPr>
        <w:t>（3）新建、改建、扩建畜禽养殖场（小区）和养殖专业户，应当符合城镇土地利用总体规划、畜牧业发展规划、城乡总体规划、社会经济发展规划、畜禽养殖污染防治规划等，满足动物防疫条件，实施雨污分流、固液分离、粪便污水资源化利用技术，并进行环境影响评价，严格执行环境保护“三同时”制度，其污染物排放量不得超过国家和地方规定的排放标准和总量控制要求。</w:t>
      </w:r>
    </w:p>
    <w:p>
      <w:pPr>
        <w:ind w:firstLine="480"/>
        <w:rPr>
          <w:color w:val="auto"/>
        </w:rPr>
      </w:pPr>
      <w:r>
        <w:rPr>
          <w:rFonts w:hint="eastAsia"/>
          <w:color w:val="auto"/>
        </w:rPr>
        <w:t>（4）从事畜禽养殖活动，应当采取科学的饲养方式和废弃物处理工艺等有效措施，减少畜禽养殖废弃物的产生量和向环境的排放量。</w:t>
      </w:r>
    </w:p>
    <w:p>
      <w:pPr>
        <w:ind w:firstLine="480"/>
        <w:rPr>
          <w:color w:val="auto"/>
        </w:rPr>
      </w:pPr>
      <w:r>
        <w:rPr>
          <w:rFonts w:hint="eastAsia"/>
          <w:color w:val="auto"/>
        </w:rPr>
        <w:t>（5）畜禽养殖场（小区）和养殖专业户应当根据养殖规模和污染防治需要，建设相应的畜禽粪便、污水与雨水分流设施，畜禽粪便、污水的贮存设施，粪污厌氧消化（堆沤、有机肥加工、制取沼气）、沼渣沼液分离和输送、污水处理、畜禽尸体处理等综合利用和无害化处理设施，并确保其正常运行。已经委托他人对畜禽养殖废弃物代为综合利用和无害化处理的，可不自行建设。</w:t>
      </w:r>
    </w:p>
    <w:p>
      <w:pPr>
        <w:ind w:firstLine="480"/>
        <w:rPr>
          <w:color w:val="auto"/>
        </w:rPr>
      </w:pPr>
      <w:r>
        <w:rPr>
          <w:rFonts w:hint="eastAsia"/>
          <w:color w:val="auto"/>
        </w:rPr>
        <w:t>（6）未建设污染防治配套设施、自行建设的配套设施不合格，或者未委托他人对畜禽养殖废弃物进行综合利用和无害化处理的畜禽养殖场（小区）和养殖专业户不得投入生产，行政审批单位不得为此类畜禽养殖场（小区）和养殖专业户办理《动物防疫条件合格证》。</w:t>
      </w:r>
    </w:p>
    <w:p>
      <w:pPr>
        <w:ind w:firstLine="480"/>
        <w:rPr>
          <w:color w:val="auto"/>
        </w:rPr>
      </w:pPr>
      <w:r>
        <w:rPr>
          <w:rFonts w:hint="eastAsia"/>
          <w:color w:val="auto"/>
        </w:rPr>
        <w:t>（7）推广以地定养、种养结合等循环利用模式，配套足够的林地、果地、旱作物地和农田消纳养殖粪污，实现畜禽养殖粪污的资源化利用。</w:t>
      </w:r>
    </w:p>
    <w:p>
      <w:pPr>
        <w:ind w:firstLine="480"/>
        <w:rPr>
          <w:color w:val="auto"/>
        </w:rPr>
      </w:pPr>
      <w:r>
        <w:rPr>
          <w:rFonts w:hint="eastAsia"/>
          <w:color w:val="auto"/>
        </w:rPr>
        <w:t>（8）畜禽养殖场（小区）和养殖专业户若设置入河排污口，排污口设置需按照《入河排污口监督管理办法》（水利部令第22号）（2015年修改）有关要求进行设置。</w:t>
      </w:r>
    </w:p>
    <w:p>
      <w:pPr>
        <w:ind w:firstLine="480"/>
        <w:rPr>
          <w:color w:val="auto"/>
        </w:rPr>
      </w:pPr>
      <w:r>
        <w:rPr>
          <w:rFonts w:hint="eastAsia"/>
          <w:color w:val="auto"/>
        </w:rPr>
        <w:t>（9）畜禽养殖场（小区）、养殖专业户直接从江河湖库或水利工程取水，要按法律法规要求办理取水许可证。</w:t>
      </w:r>
      <w:r>
        <w:rPr>
          <w:color w:val="auto"/>
        </w:rPr>
        <w:br w:type="page"/>
      </w:r>
    </w:p>
    <w:p>
      <w:pPr>
        <w:pStyle w:val="13"/>
        <w:spacing w:before="163" w:after="163"/>
        <w:rPr>
          <w:color w:val="auto"/>
        </w:rPr>
      </w:pPr>
      <w:bookmarkStart w:id="32" w:name="_Toc171516489"/>
      <w:r>
        <w:rPr>
          <w:rFonts w:hint="eastAsia"/>
          <w:color w:val="auto"/>
        </w:rPr>
        <w:t>保障措施</w:t>
      </w:r>
      <w:bookmarkEnd w:id="32"/>
    </w:p>
    <w:p>
      <w:pPr>
        <w:pStyle w:val="14"/>
        <w:spacing w:before="163" w:after="163"/>
        <w:rPr>
          <w:color w:val="auto"/>
        </w:rPr>
      </w:pPr>
      <w:bookmarkStart w:id="33" w:name="_Toc171516490"/>
      <w:r>
        <w:rPr>
          <w:rFonts w:hint="eastAsia"/>
          <w:color w:val="auto"/>
        </w:rPr>
        <w:t>加强组织领导</w:t>
      </w:r>
      <w:bookmarkEnd w:id="33"/>
    </w:p>
    <w:p>
      <w:pPr>
        <w:ind w:firstLine="480"/>
        <w:rPr>
          <w:rFonts w:hint="eastAsia"/>
          <w:color w:val="auto"/>
          <w:lang w:val="zh-CN"/>
        </w:rPr>
      </w:pPr>
      <w:r>
        <w:rPr>
          <w:rFonts w:hint="eastAsia"/>
          <w:color w:val="auto"/>
          <w:lang w:val="zh-CN"/>
        </w:rPr>
        <w:t>进一步加强对畜禽养殖污染防治工作的组织领导，加强污染防治工作协调，建立有效的部门沟通协作机制，按照“统一管理、分级监管、部门落实、责任到人”的原则进行职责分工，分解落实畜禽养殖污染防治任务，实现资源和信息共享，形成部门合力。具体工作如下：</w:t>
      </w:r>
    </w:p>
    <w:p>
      <w:pPr>
        <w:ind w:firstLine="480"/>
        <w:rPr>
          <w:rFonts w:hint="eastAsia"/>
          <w:color w:val="auto"/>
          <w:lang w:val="zh-CN"/>
        </w:rPr>
      </w:pPr>
      <w:r>
        <w:rPr>
          <w:rFonts w:hint="eastAsia" w:ascii="宋体" w:hAnsi="宋体" w:eastAsia="宋体" w:cs="宋体"/>
          <w:color w:val="auto"/>
          <w:lang w:val="zh-CN"/>
        </w:rPr>
        <w:t>①</w:t>
      </w:r>
      <w:r>
        <w:rPr>
          <w:rFonts w:hint="eastAsia"/>
          <w:color w:val="auto"/>
          <w:lang w:val="zh-CN"/>
        </w:rPr>
        <w:t>农业部门负责对畜禽养殖废弃物综合利用的指导和服务；</w:t>
      </w:r>
    </w:p>
    <w:p>
      <w:pPr>
        <w:ind w:firstLine="480"/>
        <w:rPr>
          <w:color w:val="auto"/>
          <w:lang w:val="zh-CN"/>
        </w:rPr>
      </w:pPr>
      <w:r>
        <w:rPr>
          <w:rFonts w:hint="eastAsia" w:ascii="宋体" w:hAnsi="宋体" w:eastAsia="宋体" w:cs="宋体"/>
          <w:color w:val="auto"/>
          <w:lang w:val="zh-CN"/>
        </w:rPr>
        <w:t>②</w:t>
      </w:r>
      <w:r>
        <w:rPr>
          <w:rFonts w:hint="eastAsia"/>
          <w:color w:val="auto"/>
          <w:lang w:val="zh-CN"/>
        </w:rPr>
        <w:t>生态环境部门负责畜禽养殖污染防治的统一监督管理；</w:t>
      </w:r>
    </w:p>
    <w:p>
      <w:pPr>
        <w:ind w:firstLine="480"/>
        <w:rPr>
          <w:rFonts w:hint="eastAsia"/>
          <w:color w:val="auto"/>
          <w:lang w:val="zh-CN"/>
        </w:rPr>
      </w:pPr>
      <w:r>
        <w:rPr>
          <w:rFonts w:hint="eastAsia" w:ascii="宋体" w:hAnsi="宋体" w:eastAsia="宋体" w:cs="宋体"/>
          <w:color w:val="auto"/>
          <w:lang w:val="zh-CN"/>
        </w:rPr>
        <w:t>③</w:t>
      </w:r>
      <w:r>
        <w:rPr>
          <w:rFonts w:hint="eastAsia"/>
          <w:color w:val="auto"/>
          <w:lang w:val="zh-CN"/>
        </w:rPr>
        <w:t>发改、住建、国土、财政、人口（卫健）、市场监管等行政主管部门按照各自职责，做好畜禽养殖污染防治相关工作；</w:t>
      </w:r>
    </w:p>
    <w:p>
      <w:pPr>
        <w:ind w:firstLine="480"/>
        <w:rPr>
          <w:color w:val="auto"/>
          <w:lang w:val="zh-CN"/>
        </w:rPr>
      </w:pPr>
      <w:r>
        <w:rPr>
          <w:rFonts w:hint="eastAsia" w:ascii="宋体" w:hAnsi="宋体" w:eastAsia="宋体" w:cs="宋体"/>
          <w:color w:val="auto"/>
          <w:lang w:val="zh-CN"/>
        </w:rPr>
        <w:t>④</w:t>
      </w:r>
      <w:r>
        <w:rPr>
          <w:rFonts w:hint="eastAsia"/>
          <w:color w:val="auto"/>
          <w:lang w:val="zh-CN"/>
        </w:rPr>
        <w:t>各镇（街道）按照职责做好畜禽养殖污染防治工作，负责对本行政区域内畜禽养殖污染治理设施建设与运行情况进行监督管理，协助环保、农业以及其他有关部门开展畜禽养殖污染防治工作。</w:t>
      </w:r>
    </w:p>
    <w:p>
      <w:pPr>
        <w:pStyle w:val="14"/>
        <w:spacing w:before="163" w:after="163"/>
        <w:rPr>
          <w:color w:val="auto"/>
        </w:rPr>
      </w:pPr>
      <w:bookmarkStart w:id="34" w:name="_Toc171516491"/>
      <w:r>
        <w:rPr>
          <w:rFonts w:hint="eastAsia"/>
          <w:color w:val="auto"/>
        </w:rPr>
        <w:t>强化监督管理</w:t>
      </w:r>
      <w:bookmarkEnd w:id="34"/>
    </w:p>
    <w:p>
      <w:pPr>
        <w:ind w:firstLine="480"/>
        <w:rPr>
          <w:color w:val="auto"/>
          <w:lang w:val="zh-CN"/>
        </w:rPr>
      </w:pPr>
      <w:r>
        <w:rPr>
          <w:rFonts w:hint="eastAsia"/>
          <w:color w:val="auto"/>
          <w:lang w:val="zh-CN"/>
        </w:rPr>
        <w:t>强化监督管理，对畜禽养殖污染防治工作的成效进行考核。以规模化畜禽养殖场（小区）粪污处理、有机肥还田利用、沼气和生物质气使用、有关政策落实等指标为重点， 建立畜禽养殖废弃物资源化利用绩效评价考核制度，纳入地方政府绩效评价考核体系。 根据《农业部环境保护部关于印发畜禽养殖资源化利用工作考核办法（试行）的通知》 （农牧发〔2018〕4号），对各乡镇畜禽养殖废弃物资源化利用工作情况进行年度考核。推动建立畜禽粪污处理和粪肥利用台账。将畜禽养殖污染治理与生态创建、各类农业财政扶持资格、各类生态环保评优等挂钩，不断加大综合整治力度。</w:t>
      </w:r>
    </w:p>
    <w:p>
      <w:pPr>
        <w:ind w:firstLine="480"/>
        <w:rPr>
          <w:color w:val="auto"/>
          <w:lang w:val="zh-CN"/>
        </w:rPr>
      </w:pPr>
      <w:r>
        <w:rPr>
          <w:rFonts w:hint="eastAsia"/>
          <w:color w:val="auto"/>
          <w:lang w:val="zh-CN"/>
        </w:rPr>
        <w:t>对于现有规模化畜禽养殖场（小区），清理好禁养区、规范好非禁养区。在操作中做到有章可循、有法可依、依法从政，从而加强对畜禽养殖业的环境监管，对违反国家法律和有关规定的行为进行严肃查处。各镇（街道）畜牧行政主管部门在制定本辖区畜禽养殖业发展规划时应将畜禽养殖污染防治作为一项重要内容，做好肉食品市场准入和无公害养殖生产产品的认证工作，确保经开区畜禽养殖污染防治工作落到实处。</w:t>
      </w:r>
    </w:p>
    <w:p>
      <w:pPr>
        <w:ind w:firstLine="480"/>
        <w:rPr>
          <w:color w:val="auto"/>
          <w:lang w:val="zh-CN"/>
        </w:rPr>
      </w:pPr>
      <w:r>
        <w:rPr>
          <w:rFonts w:hint="eastAsia"/>
          <w:color w:val="auto"/>
          <w:lang w:val="zh-CN"/>
        </w:rPr>
        <w:t>充分发挥好村级组织战斗堡垒作用，带动村级各类组织各支队伍加强对畜禽污染治理的监管力度。引导各村通过村规民约来规范养殖区域、排泄物处理，利用村规民约的方式对</w:t>
      </w:r>
      <w:r>
        <w:rPr>
          <w:rFonts w:hint="eastAsia"/>
          <w:color w:val="auto"/>
          <w:lang w:val="zh-CN"/>
        </w:rPr>
        <w:t>畜禽养殖加以约束和规范</w:t>
      </w:r>
      <w:r>
        <w:rPr>
          <w:rFonts w:hint="eastAsia"/>
          <w:color w:val="auto"/>
          <w:lang w:val="zh-CN"/>
        </w:rPr>
        <w:t>。政府与各行政村签订治理工作责任书，并将该项工作列为各村年度目标责任考核内容。政府将畜禽污染治理工作作为新农村建设的一项重要工作来抓，并将这项工作治理的成效，列入“一票否决制”的范畴。同时，加强对养殖户的培训和指导，采用现场参观、专题讲座等方式，推广先进的治理技术和养殖模式，并定期对畜禽养殖排污量进行跟踪监测，完善动态长效监管机制。</w:t>
      </w:r>
    </w:p>
    <w:p>
      <w:pPr>
        <w:pStyle w:val="14"/>
        <w:spacing w:before="163" w:after="163"/>
        <w:rPr>
          <w:color w:val="auto"/>
        </w:rPr>
      </w:pPr>
      <w:bookmarkStart w:id="35" w:name="_Toc171516492"/>
      <w:r>
        <w:rPr>
          <w:rFonts w:hint="eastAsia"/>
          <w:color w:val="auto"/>
        </w:rPr>
        <w:t>完善政策扶持</w:t>
      </w:r>
      <w:bookmarkEnd w:id="35"/>
    </w:p>
    <w:p>
      <w:pPr>
        <w:ind w:firstLine="480"/>
        <w:rPr>
          <w:color w:val="auto"/>
          <w:lang w:val="zh-CN"/>
        </w:rPr>
      </w:pPr>
      <w:r>
        <w:rPr>
          <w:rFonts w:hint="eastAsia"/>
          <w:color w:val="auto"/>
          <w:lang w:val="zh-CN"/>
        </w:rPr>
        <w:t>按照“政策引导、社会参与，重点治理、区域推进，目标分解、逐步实施”原则，根据区域经济发展特点、畜禽养殖发展现状、种养业结合程度、畜禽粪污处理利用基础等情况，对畜禽粪污处理利用分类、分批、分区域进行资金和政策支持。</w:t>
      </w:r>
    </w:p>
    <w:p>
      <w:pPr>
        <w:ind w:firstLine="480"/>
        <w:rPr>
          <w:color w:val="auto"/>
          <w:lang w:val="zh-CN"/>
        </w:rPr>
      </w:pPr>
      <w:r>
        <w:rPr>
          <w:rFonts w:hint="eastAsia"/>
          <w:color w:val="auto"/>
          <w:lang w:val="zh-CN"/>
        </w:rPr>
        <w:t>利用现有环保和涉农财政资金，加大对畜禽养殖污染防治投入，通过财政资金投入引导市场向畜禽养殖废弃物资源化利用方向发展。创新畜禽养殖污染防治领域的运营模式，通过PPP等方式降低运营成本和市场风险，畅通社会资本进入的渠道。推动地方政府围绕标准化规模养殖、沼气资源化利用、有机肥推广等关键环节出台扶持政策，提升规模养殖场、第三方处理机构和社会化服务组织的粪污处理能力。</w:t>
      </w:r>
    </w:p>
    <w:p>
      <w:pPr>
        <w:ind w:firstLine="480"/>
        <w:rPr>
          <w:color w:val="auto"/>
          <w:lang w:val="zh-CN"/>
        </w:rPr>
      </w:pPr>
      <w:r>
        <w:rPr>
          <w:rFonts w:hint="eastAsia"/>
          <w:color w:val="auto"/>
          <w:lang w:val="zh-CN"/>
        </w:rPr>
        <w:t>制定畜禽养殖废弃物综合利用环境经济激励政策，对采用清洁生产技术、减排成效好、废弃物资源化利用水平高的规模化畜禽养殖场区实施税收减免、奖励补贴等优惠措施。出台有利于有机肥生产和利用的土壤有机质提升奖励等畜禽养殖废弃物综合利用扶持政策，针对商品沼气设施建设、有机肥生产等畜禽养殖废弃物综合利用工程，综合运用信贷、税收、补贴等机制模式，加大畜禽废弃物资源化利用支持力度。畜禽养殖场、养殖小区的畜禽养殖污染防治设施用电，执行农业用电价格。</w:t>
      </w:r>
    </w:p>
    <w:p>
      <w:pPr>
        <w:ind w:firstLine="480"/>
        <w:rPr>
          <w:color w:val="auto"/>
          <w:lang w:val="zh-CN"/>
        </w:rPr>
      </w:pPr>
      <w:r>
        <w:rPr>
          <w:rFonts w:hint="eastAsia"/>
          <w:color w:val="auto"/>
          <w:lang w:val="zh-CN"/>
        </w:rPr>
        <w:t>探索“绿色银行”等补贴模式，真正提高企业、农户参与畜禽养殖污染防治的积极性。鼓励建立农村有机废弃物收集转化利用网络体系，发展社会化服务组织，鼓励高校、 科研院所等技术力量的参与，加快资源综合利用的研发和集成，破除粪污资源化利用过程中的技术和成本障碍。结合本地实际，推行经济高效的粪污资源化利用技术模式，逐步改进粪肥施用方式，鼓励全量收集和利用畜禽粪污。</w:t>
      </w:r>
    </w:p>
    <w:p>
      <w:pPr>
        <w:pStyle w:val="14"/>
        <w:spacing w:before="163" w:after="163"/>
        <w:rPr>
          <w:color w:val="auto"/>
        </w:rPr>
      </w:pPr>
      <w:bookmarkStart w:id="36" w:name="_Toc171516493"/>
      <w:r>
        <w:rPr>
          <w:rFonts w:hint="eastAsia"/>
          <w:color w:val="auto"/>
        </w:rPr>
        <w:t>加大宣传教育</w:t>
      </w:r>
      <w:bookmarkEnd w:id="36"/>
    </w:p>
    <w:p>
      <w:pPr>
        <w:ind w:firstLine="480"/>
        <w:rPr>
          <w:color w:val="auto"/>
          <w:lang w:val="zh-CN"/>
        </w:rPr>
      </w:pPr>
      <w:r>
        <w:rPr>
          <w:rFonts w:hint="eastAsia"/>
          <w:color w:val="auto"/>
          <w:lang w:val="zh-CN"/>
        </w:rPr>
        <w:t>积极开展畜禽养殖污染防治工作的宣传教育，在全区范围内营造良好的舆论氛围。通过广播、电视、报刊、网络、微博、微信等不同媒介，开展畜禽养殖污染防治的舆论宣传，通过形式多样的宣传教育活动，切实提高畜禽养殖场、养殖户和广大群众的环保意识。农业、生态环境等各部门或受委托的第三方培训机构，通过制定培训计划、编写培训材料、定期组织开展技术交流与人员培训，将畜禽养殖从业者、基层干部、行业管理人员作为主要培训对象，持续开展以畜禽养殖污染防治法规政策、畜禽粪污治理和资源化利用实用技术为主要内容的专项培训活动，并逐步将相关教育培训内容纳入农技教育培训当中，逐步提高从业人员的污染治理技术水平。</w:t>
      </w:r>
    </w:p>
    <w:p>
      <w:pPr>
        <w:ind w:firstLine="480"/>
        <w:rPr>
          <w:color w:val="auto"/>
          <w:lang w:val="zh-CN"/>
        </w:rPr>
      </w:pPr>
      <w:r>
        <w:rPr>
          <w:rFonts w:hint="eastAsia"/>
          <w:color w:val="auto"/>
          <w:lang w:val="zh-CN"/>
        </w:rPr>
        <w:t>充分发挥行业协会、社会舆论的监督作用，及时通报各地畜禽养殖污染治理工作进展、亮点与问题，对治理不力、严重污染水环境的生产主体进行曝光，赢得舆论宣传工作的主动权。</w:t>
      </w:r>
    </w:p>
    <w:p>
      <w:pPr>
        <w:ind w:firstLine="480"/>
        <w:rPr>
          <w:color w:val="auto"/>
          <w:lang w:val="zh-CN"/>
        </w:rPr>
      </w:pPr>
      <w:r>
        <w:rPr>
          <w:rFonts w:hint="eastAsia"/>
          <w:color w:val="auto"/>
          <w:lang w:val="zh-CN"/>
        </w:rPr>
        <w:t>提议各行政村制定和实施有关畜禽养殖废弃物处置等村规民约，并对本村居民开展畜禽养殖污染防治的宣传教育。发现畜禽养殖污染环境的，及时制止并向生态环境部门报告，进一步提高广大养殖场主和人民群众的责任意识和主人翁意识，形成群防群治畜禽养殖污染的良好氛围。</w:t>
      </w:r>
    </w:p>
    <w:p>
      <w:pPr>
        <w:pStyle w:val="14"/>
        <w:spacing w:before="163" w:after="163"/>
        <w:rPr>
          <w:color w:val="auto"/>
        </w:rPr>
      </w:pPr>
      <w:bookmarkStart w:id="37" w:name="_Toc171516494"/>
      <w:r>
        <w:rPr>
          <w:rFonts w:hint="eastAsia"/>
          <w:color w:val="auto"/>
        </w:rPr>
        <w:t>加强技术指导</w:t>
      </w:r>
      <w:bookmarkEnd w:id="37"/>
    </w:p>
    <w:p>
      <w:pPr>
        <w:ind w:firstLine="480"/>
        <w:rPr>
          <w:color w:val="auto"/>
          <w:lang w:val="zh-CN"/>
        </w:rPr>
      </w:pPr>
      <w:r>
        <w:rPr>
          <w:rFonts w:hint="eastAsia"/>
          <w:color w:val="auto"/>
          <w:lang w:val="zh-CN"/>
        </w:rPr>
        <w:t>各镇（街道）和相关部门组织技术人员对广大养殖业主进行技术指导，主要包括：</w:t>
      </w:r>
    </w:p>
    <w:p>
      <w:pPr>
        <w:ind w:firstLine="480"/>
        <w:rPr>
          <w:color w:val="auto"/>
          <w:lang w:val="zh-CN"/>
        </w:rPr>
      </w:pPr>
      <w:r>
        <w:rPr>
          <w:rFonts w:hint="eastAsia"/>
          <w:color w:val="auto"/>
          <w:lang w:val="zh-CN"/>
        </w:rPr>
        <w:t>①以《畜禽粪便无害化处理技术规范》（GB/T36195-2018）、《畜禽养殖业污染防治技术规范》（HJ/T81-2001）、《畜禽养殖业污染治理工程技术规范》（HJ497-2009）、《畜禽养殖污水贮存设施设计要求》（GB/T26624-2011）、《畜禽粪便贮存设施设计要求》（GB/T27622-2011）为指导，强化施工管理，选择具有一定工程经验的施工单位进行粪污处理设施的施工，保证建设质量。</w:t>
      </w:r>
    </w:p>
    <w:p>
      <w:pPr>
        <w:ind w:firstLine="480"/>
        <w:rPr>
          <w:color w:val="auto"/>
          <w:lang w:val="zh-CN"/>
        </w:rPr>
      </w:pPr>
      <w:r>
        <w:rPr>
          <w:rFonts w:hint="eastAsia"/>
          <w:color w:val="auto"/>
          <w:lang w:val="zh-CN"/>
        </w:rPr>
        <w:t>②各镇（街道）和相关部门组织技术人员开展土壤肥力调查，依据土壤有机成分和农作物生长规律，指导农民确定粪肥与化肥替代最佳比例，确定粪肥施用最佳数量以及使用方法。</w:t>
      </w:r>
    </w:p>
    <w:p>
      <w:pPr>
        <w:ind w:firstLine="0" w:firstLineChars="0"/>
        <w:rPr>
          <w:color w:val="auto"/>
          <w:lang w:val="zh-CN"/>
        </w:rPr>
        <w:sectPr>
          <w:pgSz w:w="11906" w:h="16838"/>
          <w:pgMar w:top="1418" w:right="1418" w:bottom="1418" w:left="1418" w:header="851" w:footer="992" w:gutter="0"/>
          <w:cols w:space="425" w:num="1"/>
          <w:docGrid w:type="lines" w:linePitch="326" w:charSpace="0"/>
        </w:sectPr>
      </w:pPr>
    </w:p>
    <w:p>
      <w:pPr>
        <w:ind w:firstLine="0" w:firstLineChars="0"/>
        <w:jc w:val="center"/>
        <w:rPr>
          <w:color w:val="auto"/>
          <w:lang w:val="zh-CN"/>
        </w:rPr>
      </w:pPr>
      <w:r>
        <w:rPr>
          <w:rFonts w:ascii="Times New Roman" w:hAnsi="Times New Roman" w:eastAsia="宋体" w:cs="黑体"/>
          <w:color w:val="auto"/>
          <w:kern w:val="2"/>
          <w:sz w:val="24"/>
          <w:szCs w:val="22"/>
          <w:lang w:val="en-US" w:eastAsia="zh-CN" w:bidi="ar-SA"/>
        </w:rPr>
        <w:pict>
          <v:shape id="图片 3" o:spid="_x0000_s1028" type="#_x0000_t75" style="height:656.65pt;width:969pt;rotation:0f;" o:ole="f" fillcolor="#FFFFFF" filled="f" o:preferrelative="t" stroked="t" coordorigin="0,0" coordsize="21600,21600">
            <v:fill on="f" color2="#FFFFFF" focus="0%"/>
            <v:stroke color="#000000" color2="#FFFFFF" miterlimit="2"/>
            <v:imagedata gain="65536f" blacklevel="0f" gamma="0" o:title="" r:id="rId14"/>
            <o:lock v:ext="edit" position="f" selection="f" grouping="f" rotation="f" cropping="f" text="f" aspectratio="t"/>
            <w10:wrap type="none"/>
            <w10:anchorlock/>
          </v:shape>
        </w:pict>
      </w:r>
    </w:p>
    <w:p>
      <w:pPr>
        <w:pStyle w:val="17"/>
        <w:rPr>
          <w:color w:val="auto"/>
          <w:lang w:val="zh-CN"/>
        </w:rPr>
        <w:sectPr>
          <w:pgSz w:w="23814" w:h="16839" w:orient="landscape"/>
          <w:pgMar w:top="1418" w:right="1418" w:bottom="1418" w:left="1418" w:header="851" w:footer="992" w:gutter="0"/>
          <w:cols w:space="425" w:num="1"/>
          <w:docGrid w:type="lines" w:linePitch="326" w:charSpace="0"/>
        </w:sectPr>
      </w:pPr>
      <w:r>
        <w:rPr>
          <w:rFonts w:hint="eastAsia"/>
          <w:color w:val="auto"/>
          <w:lang w:val="zh-CN"/>
        </w:rPr>
        <w:t>图1     湛江经济技术开发区畜禽养殖禁养区总分布图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6" o:spid="_x0000_s1029" type="#_x0000_t75" style="height:671.05pt;width:988.1pt;rotation:0f;" o:ole="f" fillcolor="#FFFFFF" filled="f" o:preferrelative="t" stroked="t" coordorigin="0,0" coordsize="21600,21600">
            <v:fill on="f" color2="#FFFFFF" focus="0%"/>
            <v:stroke color="#000000" color2="#FFFFFF" miterlimit="2"/>
            <v:imagedata gain="65536f" blacklevel="0f" gamma="0" o:title="" r:id="rId15"/>
            <o:lock v:ext="edit" position="f" selection="f" grouping="f" rotation="f" cropping="f" text="f" aspectratio="t"/>
            <w10:wrap type="none"/>
            <w10:anchorlock/>
          </v:shape>
        </w:pict>
      </w:r>
    </w:p>
    <w:p>
      <w:pPr>
        <w:pStyle w:val="17"/>
        <w:rPr>
          <w:color w:val="auto"/>
          <w:lang w:val="zh-CN"/>
        </w:rPr>
        <w:sectPr>
          <w:pgSz w:w="23814" w:h="16839" w:orient="landscape"/>
          <w:pgMar w:top="1418" w:right="1418" w:bottom="1418" w:left="1418" w:header="851" w:footer="992" w:gutter="0"/>
          <w:cols w:space="425" w:num="1"/>
          <w:docGrid w:type="lines" w:linePitch="326" w:charSpace="0"/>
        </w:sectPr>
      </w:pPr>
      <w:r>
        <w:rPr>
          <w:rFonts w:hint="eastAsia"/>
          <w:color w:val="auto"/>
          <w:lang w:val="zh-CN"/>
        </w:rPr>
        <w:t>图2       湛江经济技术开发区城镇开发边界分布图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7" o:spid="_x0000_s1030" type="#_x0000_t75" style="height:671.35pt;width:1008.55pt;rotation:0f;" o:ole="f" fillcolor="#FFFFFF" filled="f" o:preferrelative="t" stroked="t" coordorigin="0,0" coordsize="21600,21600">
            <v:fill on="f" color2="#FFFFFF" focus="0%"/>
            <v:stroke color="#000000" color2="#FFFFFF" miterlimit="2"/>
            <v:imagedata gain="65536f" blacklevel="0f" gamma="0" o:title="" r:id="rId16"/>
            <o:lock v:ext="edit" position="f" selection="f" grouping="f" rotation="f" cropping="f" text="f" aspectratio="t"/>
            <w10:wrap type="none"/>
            <w10:anchorlock/>
          </v:shape>
        </w:pict>
      </w:r>
    </w:p>
    <w:p>
      <w:pPr>
        <w:pStyle w:val="17"/>
        <w:rPr>
          <w:color w:val="auto"/>
          <w:lang w:val="zh-CN"/>
        </w:rPr>
        <w:sectPr>
          <w:pgSz w:w="23814" w:h="16839" w:orient="landscape"/>
          <w:pgMar w:top="1418" w:right="1418" w:bottom="1418" w:left="1418" w:header="851" w:footer="992" w:gutter="0"/>
          <w:cols w:space="425" w:num="1"/>
          <w:docGrid w:type="lines" w:linePitch="326" w:charSpace="0"/>
        </w:sectPr>
      </w:pPr>
      <w:r>
        <w:rPr>
          <w:rFonts w:hint="eastAsia"/>
          <w:color w:val="auto"/>
          <w:lang w:val="zh-CN"/>
        </w:rPr>
        <w:t>图3    湛江经济技术开发区自然保护地及生态红线分布图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8" o:spid="_x0000_s1031" type="#_x0000_t75" style="height:666.55pt;width:955.3pt;rotation:0f;" o:ole="f" fillcolor="#FFFFFF" filled="f" o:preferrelative="t" stroked="t" coordorigin="0,0" coordsize="21600,21600">
            <v:fill on="f" color2="#FFFFFF" focus="0%"/>
            <v:stroke color="#000000" color2="#FFFFFF" joinstyle="round"/>
            <v:imagedata cropleft="298f" croptop="2197f" cropbottom="412f" gain="65536f" blacklevel="0f" gamma="0" o:title="" r:id="rId17"/>
            <o:lock v:ext="edit" position="f" selection="f" grouping="f" rotation="f" cropping="f" text="f" aspectratio="t"/>
            <w10:wrap type="none"/>
            <w10:anchorlock/>
          </v:shape>
        </w:pict>
      </w:r>
    </w:p>
    <w:p>
      <w:pPr>
        <w:pStyle w:val="17"/>
        <w:rPr>
          <w:color w:val="auto"/>
          <w:lang w:val="zh-CN"/>
        </w:rPr>
        <w:sectPr>
          <w:pgSz w:w="23814" w:h="16839" w:orient="landscape"/>
          <w:pgMar w:top="1418" w:right="1418" w:bottom="1418" w:left="1418" w:header="851" w:footer="992" w:gutter="0"/>
          <w:cols w:space="425" w:num="1"/>
          <w:docGrid w:type="lines" w:linePitch="326" w:charSpace="0"/>
        </w:sectPr>
      </w:pPr>
      <w:r>
        <w:rPr>
          <w:rFonts w:hint="eastAsia"/>
          <w:color w:val="auto"/>
          <w:lang w:val="zh-CN"/>
        </w:rPr>
        <w:t>图4     泉庄、乐华街道禁养区拐点坐标图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15" o:spid="_x0000_s1032" type="#_x0000_t75" style="height:668.1pt;width:936.8pt;rotation:0f;" o:ole="f" fillcolor="#FFFFFF" filled="f" o:preferrelative="t" stroked="f" coordorigin="0,0" coordsize="21600,21600">
            <v:fill on="f" color2="#FFFFFF" focus="0%"/>
            <v:imagedata croptop="2542f" gain="65536f" blacklevel="0f" gamma="0" o:title="" r:id="rId18"/>
            <o:lock v:ext="edit" position="f" selection="f" grouping="f" rotation="f" cropping="f" text="f" aspectratio="t"/>
            <w10:wrap type="none"/>
            <w10:anchorlock/>
          </v:shape>
        </w:pict>
      </w:r>
    </w:p>
    <w:p>
      <w:pPr>
        <w:pStyle w:val="17"/>
        <w:rPr>
          <w:color w:val="auto"/>
          <w:lang w:val="zh-CN"/>
        </w:rPr>
        <w:sectPr>
          <w:pgSz w:w="23814" w:h="16839" w:orient="landscape"/>
          <w:pgMar w:top="1418" w:right="1418" w:bottom="1418" w:left="1418" w:header="851" w:footer="992" w:gutter="0"/>
          <w:cols w:space="425" w:num="1"/>
          <w:docGrid w:type="lines" w:linePitch="326" w:charSpace="0"/>
        </w:sectPr>
      </w:pPr>
      <w:r>
        <w:rPr>
          <w:rFonts w:hint="eastAsia"/>
          <w:color w:val="auto"/>
          <w:lang w:val="zh-CN"/>
        </w:rPr>
        <w:t>图5     民安镇禁养区（生态保护红线）拐点坐标图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16" o:spid="_x0000_s1033" type="#_x0000_t75" style="height:429pt;width:578.7pt;rotation:0f;" o:ole="f" fillcolor="#FFFFFF" filled="f" o:preferrelative="t" stroked="f" coordorigin="0,0" coordsize="21600,21600">
            <v:fill on="f" color2="#FFFFFF" focus="0%"/>
            <v:imagedata croptop="2629f" gain="65536f" blacklevel="0f" gamma="0" o:title="" r:id="rId19"/>
            <o:lock v:ext="edit" position="f" selection="f" grouping="f" rotation="f" cropping="f" text="f" aspectratio="t"/>
            <w10:wrap type="none"/>
            <w10:anchorlock/>
          </v:shape>
        </w:pict>
      </w:r>
    </w:p>
    <w:p>
      <w:pPr>
        <w:pStyle w:val="17"/>
        <w:rPr>
          <w:color w:val="auto"/>
          <w:lang w:val="zh-CN"/>
        </w:rPr>
        <w:sectPr>
          <w:pgSz w:w="16839" w:h="11907" w:orient="landscape"/>
          <w:pgMar w:top="1418" w:right="1418" w:bottom="1418" w:left="1418" w:header="851" w:footer="992" w:gutter="0"/>
          <w:cols w:space="425" w:num="1"/>
          <w:docGrid w:type="lines" w:linePitch="326" w:charSpace="0"/>
        </w:sectPr>
      </w:pPr>
      <w:r>
        <w:rPr>
          <w:rFonts w:hint="eastAsia"/>
          <w:color w:val="auto"/>
          <w:lang w:val="zh-CN"/>
        </w:rPr>
        <w:t>图6    民安镇禁养区（城镇开发边界）拐点坐标图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10" o:spid="_x0000_s1034" type="#_x0000_t75" style="height:666.45pt;width:933.95pt;rotation:0f;" o:ole="f" fillcolor="#FFFFFF" filled="f" o:preferrelative="t" stroked="t" coordorigin="0,0" coordsize="21600,21600">
            <v:fill on="f" color2="#FFFFFF" focus="0%"/>
            <v:stroke color="#000000" color2="#FFFFFF" miterlimit="2"/>
            <v:imagedata cropleft="873f" croptop="1224f" cropright="928f" cropbottom="556f" gain="65536f" blacklevel="0f" gamma="0" o:title="" r:id="rId20"/>
            <o:lock v:ext="edit" position="f" selection="f" grouping="f" rotation="f" cropping="f" text="f" aspectratio="t"/>
            <w10:wrap type="none"/>
            <w10:anchorlock/>
          </v:shape>
        </w:pict>
      </w:r>
    </w:p>
    <w:p>
      <w:pPr>
        <w:pStyle w:val="17"/>
        <w:rPr>
          <w:color w:val="auto"/>
          <w:lang w:val="zh-CN"/>
        </w:rPr>
        <w:sectPr>
          <w:pgSz w:w="23814" w:h="16839" w:orient="landscape"/>
          <w:pgMar w:top="1418" w:right="1418" w:bottom="1418" w:left="1418" w:header="851" w:footer="992" w:gutter="0"/>
          <w:cols w:space="425" w:num="1"/>
          <w:docGrid w:type="lines" w:linePitch="326" w:charSpace="0"/>
        </w:sectPr>
      </w:pPr>
      <w:r>
        <w:rPr>
          <w:rFonts w:hint="eastAsia"/>
          <w:color w:val="auto"/>
          <w:lang w:val="zh-CN"/>
        </w:rPr>
        <w:t>图7     东头山岛禁养区拐点坐标图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13" o:spid="_x0000_s1035" type="#_x0000_t75" style="height:1016.55pt;width:577.25pt;rotation:0f;" o:ole="f" fillcolor="#FFFFFF" filled="f" o:preferrelative="t" stroked="f" coordorigin="0,0" coordsize="21600,21600">
            <v:fill on="f" color2="#FFFFFF" focus="0%"/>
            <v:imagedata gain="65536f" blacklevel="0f" gamma="0" o:title="" r:id="rId21"/>
            <o:lock v:ext="edit" position="f" selection="f" grouping="f" rotation="f" cropping="f" text="f" aspectratio="t"/>
            <w10:wrap type="none"/>
            <w10:anchorlock/>
          </v:shape>
        </w:pict>
      </w:r>
    </w:p>
    <w:p>
      <w:pPr>
        <w:pStyle w:val="17"/>
        <w:rPr>
          <w:color w:val="auto"/>
          <w:lang w:val="zh-CN"/>
        </w:rPr>
        <w:sectPr>
          <w:pgSz w:w="16839" w:h="23814"/>
          <w:pgMar w:top="1418" w:right="1418" w:bottom="1418" w:left="1418" w:header="851" w:footer="992" w:gutter="0"/>
          <w:cols w:space="425" w:num="1"/>
          <w:docGrid w:type="lines" w:linePitch="326" w:charSpace="0"/>
        </w:sectPr>
      </w:pPr>
      <w:r>
        <w:rPr>
          <w:rFonts w:hint="eastAsia"/>
          <w:color w:val="auto"/>
          <w:lang w:val="zh-CN"/>
        </w:rPr>
        <w:t>图8    东简、东山街道禁养区拐点坐标图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17" o:spid="_x0000_s1036" type="#_x0000_t75" style="height:656.55pt;width:1012.9pt;rotation:0f;" o:ole="f" fillcolor="#FFFFFF" filled="f" o:preferrelative="t" stroked="f" coordorigin="0,0" coordsize="21600,21600">
            <v:fill on="f" color2="#FFFFFF" focus="0%"/>
            <v:imagedata gain="65536f" blacklevel="0f" gamma="0" o:title="" r:id="rId22"/>
            <o:lock v:ext="edit" position="f" selection="f" grouping="f" rotation="f" cropping="f" text="f" aspectratio="t"/>
            <w10:wrap type="none"/>
            <w10:anchorlock/>
          </v:shape>
        </w:pict>
      </w:r>
    </w:p>
    <w:p>
      <w:pPr>
        <w:pStyle w:val="17"/>
        <w:rPr>
          <w:color w:val="auto"/>
          <w:lang w:val="zh-CN"/>
        </w:rPr>
        <w:sectPr>
          <w:pgSz w:w="23814" w:h="16839" w:orient="landscape"/>
          <w:pgMar w:top="1418" w:right="1418" w:bottom="1418" w:left="1418" w:header="851" w:footer="992" w:gutter="0"/>
          <w:cols w:space="425" w:num="1"/>
          <w:docGrid w:type="lines" w:linePitch="326" w:charSpace="0"/>
        </w:sectPr>
      </w:pPr>
      <w:r>
        <w:rPr>
          <w:rFonts w:hint="eastAsia"/>
          <w:color w:val="auto"/>
          <w:lang w:val="zh-CN"/>
        </w:rPr>
        <w:t>图9    东简街道禁养区（城镇开发边界）拐点坐标图</w:t>
      </w:r>
    </w:p>
    <w:p>
      <w:pPr>
        <w:pStyle w:val="17"/>
        <w:rPr>
          <w:color w:val="auto"/>
          <w:lang w:val="zh-CN"/>
        </w:rPr>
      </w:pPr>
      <w:r>
        <w:rPr>
          <w:rFonts w:ascii="Times New Roman" w:hAnsi="Times New Roman" w:eastAsia="宋体" w:cs="Times New Roman"/>
          <w:b/>
          <w:color w:val="auto"/>
          <w:kern w:val="2"/>
          <w:sz w:val="24"/>
          <w:szCs w:val="24"/>
          <w:lang w:val="en-US" w:eastAsia="zh-CN" w:bidi="ar-SA"/>
        </w:rPr>
        <w:pict>
          <v:shape id="图片 14" o:spid="_x0000_s1037" type="#_x0000_t75" style="height:656.7pt;width:897pt;rotation:0f;" o:ole="f" fillcolor="#FFFFFF" filled="f" o:preferrelative="t" stroked="t" coordorigin="0,0" coordsize="21600,21600">
            <v:fill on="f" color2="#FFFFFF" focus="0%"/>
            <v:stroke color="#000000" color2="#FFFFFF" joinstyle="round"/>
            <v:imagedata cropleft="543f" croptop="441f" cropbottom="735f" gain="65536f" blacklevel="0f" gamma="0" o:title="" r:id="rId23"/>
            <o:lock v:ext="edit" position="f" selection="f" grouping="f" rotation="f" cropping="f" text="f" aspectratio="t"/>
            <w10:wrap type="none"/>
            <w10:anchorlock/>
          </v:shape>
        </w:pict>
      </w:r>
    </w:p>
    <w:p>
      <w:pPr>
        <w:pStyle w:val="17"/>
        <w:rPr>
          <w:color w:val="auto"/>
          <w:lang w:val="zh-CN"/>
        </w:rPr>
      </w:pPr>
      <w:r>
        <w:rPr>
          <w:rFonts w:hint="eastAsia"/>
          <w:color w:val="auto"/>
          <w:lang w:val="zh-CN"/>
        </w:rPr>
        <w:t>图10     硇洲镇禁养区拐点坐标图</w:t>
      </w:r>
    </w:p>
    <w:sectPr>
      <w:pgSz w:w="23814" w:h="16839" w:orient="landscape"/>
      <w:pgMar w:top="1418" w:right="1418" w:bottom="1418" w:left="1418" w:header="851" w:footer="992"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auto"/>
    <w:pitch w:val="default"/>
    <w:sig w:usb0="E00002FF" w:usb1="400004FF" w:usb2="00000000" w:usb3="00000000" w:csb0="2000019F" w:csb1="00000000"/>
  </w:font>
  <w:font w:name="TimesNewRomanPSMT">
    <w:altName w:val="Times New Roman"/>
    <w:panose1 w:val="00000000000000000000"/>
    <w:charset w:val="00"/>
    <w:family w:val="auto"/>
    <w:pitch w:val="default"/>
    <w:sig w:usb0="00000000" w:usb1="00000000" w:usb2="00000000" w:usb3="00000000" w:csb0="00040001" w:csb1="00000000"/>
  </w:font>
  <w:font w:name="Calibri">
    <w:panose1 w:val="020F0502020204030204"/>
    <w:charset w:val="00"/>
    <w:family w:val="auto"/>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ind w:firstLine="360"/>
      <w:jc w:val="center"/>
    </w:pPr>
  </w:p>
  <w:p>
    <w:pPr>
      <w:pStyle w:val="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ind w:firstLine="360"/>
      <w:jc w:val="center"/>
    </w:pPr>
    <w:r>
      <w:fldChar w:fldCharType="begin"/>
    </w:r>
    <w:r>
      <w:instrText xml:space="preserve">PAGE   \* MERGEFORMAT</w:instrText>
    </w:r>
    <w:r>
      <w:fldChar w:fldCharType="separate"/>
    </w:r>
    <w:r>
      <w:rPr>
        <w:lang w:val="zh-CN"/>
      </w:rPr>
      <w:t>30</w:t>
    </w:r>
    <w:r>
      <w:fldChar w:fldCharType="end"/>
    </w:r>
  </w:p>
  <w:p>
    <w:pPr>
      <w:pStyle w:val="5"/>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899754108">
    <w:nsid w:val="35A1287C"/>
    <w:multiLevelType w:val="multilevel"/>
    <w:tmpl w:val="35A1287C"/>
    <w:lvl w:ilvl="0" w:tentative="1">
      <w:start w:val="1"/>
      <w:numFmt w:val="decimal"/>
      <w:pStyle w:val="13"/>
      <w:lvlText w:val="%1"/>
      <w:lvlJc w:val="left"/>
      <w:pPr>
        <w:ind w:left="425" w:hanging="425"/>
      </w:pPr>
      <w:rPr>
        <w:b w:val="0"/>
        <w:bCs w:val="0"/>
        <w:i w:val="0"/>
        <w:iCs w:val="0"/>
        <w:caps w:val="0"/>
        <w:smallCaps w:val="0"/>
        <w:strike w:val="0"/>
        <w:dstrike w:val="0"/>
        <w:outline w:val="0"/>
        <w:shadow w:val="0"/>
        <w:spacing w:val="0"/>
        <w:position w:val="0"/>
        <w:u w:val="none"/>
      </w:rPr>
    </w:lvl>
    <w:lvl w:ilvl="1" w:tentative="1">
      <w:start w:val="1"/>
      <w:numFmt w:val="decimal"/>
      <w:pStyle w:val="14"/>
      <w:lvlText w:val="%1.%2"/>
      <w:lvlJc w:val="left"/>
      <w:pPr>
        <w:ind w:left="709" w:hanging="567"/>
      </w:pPr>
      <w:rPr>
        <w:rFonts w:hint="default"/>
      </w:rPr>
    </w:lvl>
    <w:lvl w:ilvl="2" w:tentative="1">
      <w:start w:val="1"/>
      <w:numFmt w:val="decimal"/>
      <w:pStyle w:val="15"/>
      <w:lvlText w:val="%1.%2.%3"/>
      <w:lvlJc w:val="left"/>
      <w:pPr>
        <w:ind w:left="680" w:hanging="680"/>
      </w:pPr>
      <w:rPr>
        <w:rFonts w:hint="eastAsia"/>
      </w:rPr>
    </w:lvl>
    <w:lvl w:ilvl="3" w:tentative="1">
      <w:start w:val="1"/>
      <w:numFmt w:val="decimal"/>
      <w:pStyle w:val="16"/>
      <w:lvlText w:val="%1.%2.%3.%4"/>
      <w:lvlJc w:val="left"/>
      <w:pPr>
        <w:ind w:left="708" w:hanging="708"/>
      </w:pPr>
      <w:rPr>
        <w:rFonts w:hint="default"/>
      </w:rPr>
    </w:lvl>
    <w:lvl w:ilvl="4" w:tentative="1">
      <w:start w:val="1"/>
      <w:numFmt w:val="decimal"/>
      <w:lvlText w:val="%1.%2.%3.%4.%5"/>
      <w:lvlJc w:val="left"/>
      <w:pPr>
        <w:ind w:left="2551" w:hanging="850"/>
      </w:pPr>
      <w:rPr>
        <w:rFonts w:hint="eastAsia"/>
      </w:rPr>
    </w:lvl>
    <w:lvl w:ilvl="5" w:tentative="1">
      <w:start w:val="1"/>
      <w:numFmt w:val="decimal"/>
      <w:lvlText w:val="%1.%2.%3.%4.%5.%6"/>
      <w:lvlJc w:val="left"/>
      <w:pPr>
        <w:ind w:left="3260" w:hanging="1134"/>
      </w:pPr>
      <w:rPr>
        <w:rFonts w:hint="eastAsia"/>
      </w:rPr>
    </w:lvl>
    <w:lvl w:ilvl="6" w:tentative="1">
      <w:start w:val="1"/>
      <w:numFmt w:val="decimal"/>
      <w:lvlText w:val="%1.%2.%3.%4.%5.%6.%7"/>
      <w:lvlJc w:val="left"/>
      <w:pPr>
        <w:ind w:left="3827" w:hanging="1276"/>
      </w:pPr>
      <w:rPr>
        <w:rFonts w:hint="eastAsia"/>
      </w:rPr>
    </w:lvl>
    <w:lvl w:ilvl="7" w:tentative="1">
      <w:start w:val="1"/>
      <w:numFmt w:val="decimal"/>
      <w:lvlText w:val="%1.%2.%3.%4.%5.%6.%7.%8"/>
      <w:lvlJc w:val="left"/>
      <w:pPr>
        <w:ind w:left="4394" w:hanging="1418"/>
      </w:pPr>
      <w:rPr>
        <w:rFonts w:hint="eastAsia"/>
      </w:rPr>
    </w:lvl>
    <w:lvl w:ilvl="8" w:tentative="1">
      <w:start w:val="1"/>
      <w:numFmt w:val="decimal"/>
      <w:lvlText w:val="%1.%2.%3.%4.%5.%6.%7.%8.%9"/>
      <w:lvlJc w:val="left"/>
      <w:pPr>
        <w:ind w:left="5102" w:hanging="1700"/>
      </w:pPr>
      <w:rPr>
        <w:rFonts w:hint="eastAsia"/>
      </w:rPr>
    </w:lvl>
  </w:abstractNum>
  <w:num w:numId="1">
    <w:abstractNumId w:val="89975410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allowSpaceOfSameStyleInTable/>
    <w:doNotSuppressIndentation/>
    <w:doNotAutofitConstrainedTables/>
    <w:autofitToFirstFixedWidthCell/>
    <w:displayHangulFixedWidth/>
    <w:doNotVertAlignCellWithSp/>
    <w:doNotBreakConstrainedForcedTable/>
    <w:doNotVertAlignInTxbx/>
    <w:useAnsiKerningPairs/>
    <w:cachedColBalance/>
  </w:compat>
  <w:docVars>
    <w:docVar w:name="commondata" w:val="eyJoZGlkIjoiZjM1ZmM3YTA4NzY0MWU4ZTc4YmZlYTFiMjY5N2EwM2EifQ=="/>
  </w:docVars>
  <w:rsids>
    <w:rsidRoot w:val="00B51A16"/>
    <w:rsid w:val="0001200F"/>
    <w:rsid w:val="00050A77"/>
    <w:rsid w:val="00094EEE"/>
    <w:rsid w:val="000B6EFE"/>
    <w:rsid w:val="000D2BEB"/>
    <w:rsid w:val="00116F7E"/>
    <w:rsid w:val="0012344D"/>
    <w:rsid w:val="001C1BE4"/>
    <w:rsid w:val="001C6F1F"/>
    <w:rsid w:val="00262AFF"/>
    <w:rsid w:val="00262F19"/>
    <w:rsid w:val="00286F10"/>
    <w:rsid w:val="002A4536"/>
    <w:rsid w:val="002E4BBF"/>
    <w:rsid w:val="00302A17"/>
    <w:rsid w:val="0035278D"/>
    <w:rsid w:val="003637CB"/>
    <w:rsid w:val="003668CC"/>
    <w:rsid w:val="003952F4"/>
    <w:rsid w:val="00395F23"/>
    <w:rsid w:val="003B7E38"/>
    <w:rsid w:val="0040543F"/>
    <w:rsid w:val="004415A0"/>
    <w:rsid w:val="0044606E"/>
    <w:rsid w:val="0045497D"/>
    <w:rsid w:val="004D6618"/>
    <w:rsid w:val="004E0B8D"/>
    <w:rsid w:val="005347E9"/>
    <w:rsid w:val="005E1123"/>
    <w:rsid w:val="005E35AA"/>
    <w:rsid w:val="0064741D"/>
    <w:rsid w:val="00653B6F"/>
    <w:rsid w:val="00674DD4"/>
    <w:rsid w:val="00682596"/>
    <w:rsid w:val="00683784"/>
    <w:rsid w:val="00694FC8"/>
    <w:rsid w:val="006D04A6"/>
    <w:rsid w:val="006E5EED"/>
    <w:rsid w:val="006E6BAC"/>
    <w:rsid w:val="00753B8C"/>
    <w:rsid w:val="00757D30"/>
    <w:rsid w:val="00785062"/>
    <w:rsid w:val="007B4DB2"/>
    <w:rsid w:val="007E00D7"/>
    <w:rsid w:val="007E7D0F"/>
    <w:rsid w:val="00806020"/>
    <w:rsid w:val="0085795F"/>
    <w:rsid w:val="00880EDD"/>
    <w:rsid w:val="00905BE8"/>
    <w:rsid w:val="00971132"/>
    <w:rsid w:val="00971CC8"/>
    <w:rsid w:val="00984B3E"/>
    <w:rsid w:val="009D0AEB"/>
    <w:rsid w:val="009E015E"/>
    <w:rsid w:val="009E07B8"/>
    <w:rsid w:val="009F62AC"/>
    <w:rsid w:val="00A03C9C"/>
    <w:rsid w:val="00A62565"/>
    <w:rsid w:val="00A93210"/>
    <w:rsid w:val="00A97F95"/>
    <w:rsid w:val="00AB01A2"/>
    <w:rsid w:val="00AB6F7A"/>
    <w:rsid w:val="00B054DD"/>
    <w:rsid w:val="00B50915"/>
    <w:rsid w:val="00B51A16"/>
    <w:rsid w:val="00B717F2"/>
    <w:rsid w:val="00B83DE6"/>
    <w:rsid w:val="00BF4B1B"/>
    <w:rsid w:val="00C173EA"/>
    <w:rsid w:val="00C5504F"/>
    <w:rsid w:val="00C63498"/>
    <w:rsid w:val="00CA5C86"/>
    <w:rsid w:val="00D270B2"/>
    <w:rsid w:val="00D275E3"/>
    <w:rsid w:val="00D645A9"/>
    <w:rsid w:val="00DA427B"/>
    <w:rsid w:val="00DA7EE6"/>
    <w:rsid w:val="00DB4913"/>
    <w:rsid w:val="00E51778"/>
    <w:rsid w:val="00E7501C"/>
    <w:rsid w:val="00E87BC0"/>
    <w:rsid w:val="00E9761F"/>
    <w:rsid w:val="00EF0FAF"/>
    <w:rsid w:val="00F061B8"/>
    <w:rsid w:val="00F114B9"/>
    <w:rsid w:val="00F36C78"/>
    <w:rsid w:val="00F529FD"/>
    <w:rsid w:val="00FA5E22"/>
    <w:rsid w:val="00FA7366"/>
    <w:rsid w:val="00FE74BB"/>
    <w:rsid w:val="0BCA5242"/>
    <w:rsid w:val="3CD5085D"/>
    <w:rsid w:val="44277282"/>
    <w:rsid w:val="470E2759"/>
    <w:rsid w:val="50A42161"/>
    <w:rsid w:val="56E63FDF"/>
    <w:rsid w:val="57D72CAA"/>
    <w:rsid w:val="71942023"/>
    <w:rsid w:val="73D35E37"/>
    <w:rsid w:val="745E61F7"/>
  </w:rsids>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260" w:defQFormat="0" w:defUnhideWhenUsed="1" w:defSemiHidden="1" w:defUIPriority="99" w:defLockedState="0">
    <w:lsdException w:qFormat="1" w:unhideWhenUsed="0" w:uiPriority="0" w:semiHidden="0" w:name="Normal"/>
    <w:lsdException w:unhideWhenUsed="0" w:uiPriority="9" w:semiHidden="0" w:name="heading 1"/>
    <w:lsdException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iPriority="0" w:name="footnote text"/>
    <w:lsdException w:uiPriority="0" w:name="annotation text"/>
    <w:lsdException w:qFormat="1" w:uiPriority="99" w:semiHidden="0" w:name="header"/>
    <w:lsdException w:qFormat="1" w:uiPriority="99"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1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unhideWhenUsed="0" w:uiPriority="22" w:semiHidden="0" w:name="Strong"/>
    <w:lsdException w:unhideWhenUsed="0" w:uiPriority="2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99" w:name="Balloon Text"/>
    <w:lsdException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24" w:lineRule="auto"/>
      <w:ind w:firstLine="200" w:firstLineChars="200"/>
      <w:jc w:val="both"/>
    </w:pPr>
    <w:rPr>
      <w:rFonts w:ascii="Times New Roman" w:hAnsi="Times New Roman" w:eastAsia="宋体" w:cs="黑体"/>
      <w:kern w:val="2"/>
      <w:sz w:val="24"/>
      <w:szCs w:val="22"/>
      <w:lang w:val="en-US" w:eastAsia="zh-CN" w:bidi="ar-SA"/>
    </w:rPr>
  </w:style>
  <w:style w:type="paragraph" w:styleId="2">
    <w:name w:val="heading 1"/>
    <w:basedOn w:val="1"/>
    <w:next w:val="1"/>
    <w:link w:val="24"/>
    <w:uiPriority w:val="9"/>
    <w:pPr>
      <w:keepNext/>
      <w:keepLines/>
      <w:spacing w:before="340" w:after="330" w:line="578" w:lineRule="auto"/>
      <w:outlineLvl w:val="0"/>
    </w:pPr>
    <w:rPr>
      <w:b/>
      <w:bCs/>
      <w:kern w:val="44"/>
      <w:sz w:val="44"/>
      <w:szCs w:val="44"/>
    </w:rPr>
  </w:style>
  <w:style w:type="character" w:default="1" w:styleId="9">
    <w:name w:val="Default Paragraph Font"/>
    <w:unhideWhenUsed/>
    <w:uiPriority w:val="1"/>
  </w:style>
  <w:style w:type="table" w:default="1" w:styleId="11">
    <w:name w:val="Normal Table"/>
    <w:unhideWhenUsed/>
    <w:uiPriority w:val="99"/>
    <w:tblPr>
      <w:tblStyle w:val="11"/>
      <w:tblLayout w:type="fixed"/>
      <w:tblCellMar>
        <w:top w:w="0" w:type="dxa"/>
        <w:left w:w="108" w:type="dxa"/>
        <w:bottom w:w="0" w:type="dxa"/>
        <w:right w:w="108" w:type="dxa"/>
      </w:tblCellMar>
    </w:tblPr>
    <w:tcPr>
      <w:textDirection w:val="lrTb"/>
    </w:tcPr>
  </w:style>
  <w:style w:type="paragraph" w:styleId="3">
    <w:name w:val="toc 3"/>
    <w:basedOn w:val="1"/>
    <w:next w:val="1"/>
    <w:unhideWhenUsed/>
    <w:uiPriority w:val="39"/>
    <w:pPr>
      <w:tabs>
        <w:tab w:val="left" w:pos="1830"/>
        <w:tab w:val="right" w:leader="dot" w:pos="9060"/>
      </w:tabs>
      <w:ind w:left="960" w:leftChars="400" w:firstLine="0" w:firstLineChars="0"/>
    </w:pPr>
  </w:style>
  <w:style w:type="paragraph" w:styleId="4">
    <w:name w:val="Balloon Text"/>
    <w:basedOn w:val="1"/>
    <w:link w:val="23"/>
    <w:unhideWhenUsed/>
    <w:uiPriority w:val="99"/>
    <w:pPr>
      <w:spacing w:line="240" w:lineRule="auto"/>
    </w:pPr>
    <w:rPr>
      <w:sz w:val="18"/>
      <w:szCs w:val="18"/>
    </w:rPr>
  </w:style>
  <w:style w:type="paragraph" w:styleId="5">
    <w:name w:val="footer"/>
    <w:basedOn w:val="1"/>
    <w:link w:val="26"/>
    <w:unhideWhenUsed/>
    <w:qFormat/>
    <w:uiPriority w:val="99"/>
    <w:pPr>
      <w:tabs>
        <w:tab w:val="center" w:pos="4153"/>
        <w:tab w:val="right" w:pos="8306"/>
      </w:tabs>
      <w:snapToGrid w:val="0"/>
      <w:spacing w:line="240" w:lineRule="auto"/>
      <w:jc w:val="left"/>
    </w:pPr>
    <w:rPr>
      <w:sz w:val="18"/>
      <w:szCs w:val="18"/>
    </w:rPr>
  </w:style>
  <w:style w:type="paragraph" w:styleId="6">
    <w:name w:val="header"/>
    <w:basedOn w:val="1"/>
    <w:link w:val="25"/>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7">
    <w:name w:val="toc 1"/>
    <w:basedOn w:val="1"/>
    <w:next w:val="1"/>
    <w:unhideWhenUsed/>
    <w:uiPriority w:val="39"/>
    <w:pPr>
      <w:tabs>
        <w:tab w:val="left" w:pos="809"/>
        <w:tab w:val="right" w:leader="dot" w:pos="9060"/>
      </w:tabs>
      <w:ind w:firstLine="0" w:firstLineChars="0"/>
    </w:pPr>
    <w:rPr>
      <w:b/>
    </w:rPr>
  </w:style>
  <w:style w:type="paragraph" w:styleId="8">
    <w:name w:val="toc 2"/>
    <w:basedOn w:val="1"/>
    <w:next w:val="1"/>
    <w:unhideWhenUsed/>
    <w:uiPriority w:val="39"/>
    <w:pPr>
      <w:ind w:left="420" w:leftChars="200"/>
    </w:pPr>
  </w:style>
  <w:style w:type="character" w:styleId="10">
    <w:name w:val="Hyperlink"/>
    <w:basedOn w:val="9"/>
    <w:unhideWhenUsed/>
    <w:qFormat/>
    <w:uiPriority w:val="99"/>
    <w:rPr>
      <w:color w:val="0000FF"/>
      <w:u w:val="single"/>
    </w:rPr>
  </w:style>
  <w:style w:type="table" w:styleId="12">
    <w:name w:val="Table Grid"/>
    <w:basedOn w:val="11"/>
    <w:uiPriority w:val="59"/>
    <w:pPr/>
    <w:tblPr>
      <w:tblStyle w:val="1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cPr>
      <w:textDirection w:val="lrTb"/>
    </w:tcPr>
  </w:style>
  <w:style w:type="paragraph" w:customStyle="1" w:styleId="13">
    <w:name w:val="标题1"/>
    <w:basedOn w:val="1"/>
    <w:next w:val="1"/>
    <w:link w:val="20"/>
    <w:qFormat/>
    <w:uiPriority w:val="0"/>
    <w:pPr>
      <w:numPr>
        <w:ilvl w:val="0"/>
        <w:numId w:val="1"/>
      </w:numPr>
      <w:adjustRightInd w:val="0"/>
      <w:snapToGrid w:val="0"/>
      <w:spacing w:before="50" w:beforeLines="50" w:after="50" w:afterLines="50" w:line="360" w:lineRule="auto"/>
      <w:ind w:left="0" w:firstLine="0" w:firstLineChars="0"/>
      <w:jc w:val="center"/>
      <w:outlineLvl w:val="0"/>
    </w:pPr>
    <w:rPr>
      <w:rFonts w:eastAsia="宋体" w:cs="Times New Roman"/>
      <w:b/>
      <w:sz w:val="44"/>
      <w:lang w:val="zh-CN"/>
    </w:rPr>
  </w:style>
  <w:style w:type="paragraph" w:customStyle="1" w:styleId="14">
    <w:name w:val="标题1.1"/>
    <w:basedOn w:val="13"/>
    <w:next w:val="1"/>
    <w:qFormat/>
    <w:uiPriority w:val="0"/>
    <w:pPr>
      <w:numPr>
        <w:ilvl w:val="1"/>
        <w:numId w:val="1"/>
      </w:numPr>
      <w:tabs>
        <w:tab w:val="left" w:pos="360"/>
      </w:tabs>
      <w:ind w:left="0" w:firstLine="0"/>
      <w:jc w:val="both"/>
      <w:outlineLvl w:val="1"/>
    </w:pPr>
    <w:rPr>
      <w:sz w:val="32"/>
    </w:rPr>
  </w:style>
  <w:style w:type="paragraph" w:customStyle="1" w:styleId="15">
    <w:name w:val="标题1.1.1"/>
    <w:basedOn w:val="14"/>
    <w:next w:val="1"/>
    <w:qFormat/>
    <w:uiPriority w:val="0"/>
    <w:pPr>
      <w:numPr>
        <w:ilvl w:val="2"/>
        <w:numId w:val="1"/>
      </w:numPr>
      <w:ind w:left="0" w:firstLine="0"/>
      <w:outlineLvl w:val="2"/>
    </w:pPr>
    <w:rPr>
      <w:sz w:val="28"/>
    </w:rPr>
  </w:style>
  <w:style w:type="paragraph" w:customStyle="1" w:styleId="16">
    <w:name w:val="标题1.1.1.1"/>
    <w:basedOn w:val="15"/>
    <w:next w:val="1"/>
    <w:qFormat/>
    <w:uiPriority w:val="99"/>
    <w:pPr>
      <w:numPr>
        <w:ilvl w:val="3"/>
        <w:numId w:val="1"/>
      </w:numPr>
      <w:ind w:left="0" w:firstLine="0"/>
      <w:outlineLvl w:val="3"/>
    </w:pPr>
    <w:rPr>
      <w:sz w:val="24"/>
    </w:rPr>
  </w:style>
  <w:style w:type="paragraph" w:customStyle="1" w:styleId="17">
    <w:name w:val="表题图题"/>
    <w:basedOn w:val="1"/>
    <w:qFormat/>
    <w:uiPriority w:val="99"/>
    <w:pPr>
      <w:adjustRightInd w:val="0"/>
      <w:snapToGrid w:val="0"/>
      <w:spacing w:line="360" w:lineRule="auto"/>
      <w:ind w:firstLine="0" w:firstLineChars="0"/>
      <w:jc w:val="center"/>
    </w:pPr>
    <w:rPr>
      <w:rFonts w:eastAsia="宋体" w:cs="Times New Roman"/>
      <w:b/>
      <w:szCs w:val="24"/>
    </w:rPr>
  </w:style>
  <w:style w:type="paragraph" w:customStyle="1" w:styleId="18">
    <w:name w:val="List Paragraph"/>
    <w:basedOn w:val="1"/>
    <w:qFormat/>
    <w:uiPriority w:val="34"/>
    <w:pPr>
      <w:spacing w:line="240" w:lineRule="auto"/>
      <w:ind w:firstLine="0" w:firstLineChars="0"/>
      <w:jc w:val="center"/>
    </w:pPr>
    <w:rPr>
      <w:sz w:val="21"/>
    </w:rPr>
  </w:style>
  <w:style w:type="paragraph" w:customStyle="1" w:styleId="19">
    <w:name w:val="TOC 标题1"/>
    <w:basedOn w:val="2"/>
    <w:next w:val="1"/>
    <w:unhideWhenUsed/>
    <w:qFormat/>
    <w:uiPriority w:val="39"/>
    <w:pPr>
      <w:widowControl/>
      <w:spacing w:before="480" w:after="0" w:line="276" w:lineRule="auto"/>
      <w:ind w:firstLine="0" w:firstLineChars="0"/>
      <w:jc w:val="left"/>
      <w:outlineLvl w:val="9"/>
    </w:pPr>
    <w:rPr>
      <w:rFonts w:ascii="Cambria" w:hAnsi="Cambria" w:eastAsia="宋体" w:cs="黑体"/>
      <w:color w:val="365F90"/>
      <w:kern w:val="0"/>
      <w:sz w:val="28"/>
      <w:szCs w:val="28"/>
    </w:rPr>
  </w:style>
  <w:style w:type="character" w:customStyle="1" w:styleId="20">
    <w:name w:val="标题1 Char"/>
    <w:basedOn w:val="9"/>
    <w:link w:val="13"/>
    <w:qFormat/>
    <w:uiPriority w:val="0"/>
    <w:rPr>
      <w:rFonts w:ascii="Times New Roman" w:hAnsi="Times New Roman" w:eastAsia="宋体" w:cs="Times New Roman"/>
      <w:b/>
      <w:sz w:val="44"/>
      <w:lang w:val="zh-CN"/>
    </w:rPr>
  </w:style>
  <w:style w:type="character" w:customStyle="1" w:styleId="21">
    <w:name w:val="fontstyle01"/>
    <w:basedOn w:val="9"/>
    <w:uiPriority w:val="0"/>
    <w:rPr>
      <w:rFonts w:hint="eastAsia" w:ascii="宋体" w:hAnsi="宋体" w:eastAsia="宋体"/>
      <w:color w:val="000000"/>
      <w:sz w:val="24"/>
      <w:szCs w:val="24"/>
    </w:rPr>
  </w:style>
  <w:style w:type="character" w:customStyle="1" w:styleId="22">
    <w:name w:val="fontstyle21"/>
    <w:basedOn w:val="9"/>
    <w:uiPriority w:val="0"/>
    <w:rPr>
      <w:rFonts w:hint="default" w:ascii="TimesNewRomanPSMT" w:hAnsi="TimesNewRomanPSMT"/>
      <w:color w:val="000000"/>
      <w:sz w:val="24"/>
      <w:szCs w:val="24"/>
    </w:rPr>
  </w:style>
  <w:style w:type="character" w:customStyle="1" w:styleId="23">
    <w:name w:val="批注框文本 Char"/>
    <w:basedOn w:val="9"/>
    <w:link w:val="4"/>
    <w:semiHidden/>
    <w:uiPriority w:val="99"/>
    <w:rPr>
      <w:rFonts w:ascii="Times New Roman" w:hAnsi="Times New Roman"/>
      <w:sz w:val="18"/>
      <w:szCs w:val="18"/>
    </w:rPr>
  </w:style>
  <w:style w:type="character" w:customStyle="1" w:styleId="24">
    <w:name w:val="标题 1 Char"/>
    <w:basedOn w:val="9"/>
    <w:link w:val="2"/>
    <w:uiPriority w:val="9"/>
    <w:rPr>
      <w:rFonts w:ascii="Times New Roman" w:hAnsi="Times New Roman"/>
      <w:b/>
      <w:bCs/>
      <w:kern w:val="44"/>
      <w:sz w:val="44"/>
      <w:szCs w:val="44"/>
    </w:rPr>
  </w:style>
  <w:style w:type="character" w:customStyle="1" w:styleId="25">
    <w:name w:val="页眉 Char"/>
    <w:basedOn w:val="9"/>
    <w:link w:val="6"/>
    <w:qFormat/>
    <w:uiPriority w:val="99"/>
    <w:rPr>
      <w:rFonts w:ascii="Times New Roman" w:hAnsi="Times New Roman"/>
      <w:sz w:val="18"/>
      <w:szCs w:val="18"/>
    </w:rPr>
  </w:style>
  <w:style w:type="character" w:customStyle="1" w:styleId="26">
    <w:name w:val="页脚 Char"/>
    <w:basedOn w:val="9"/>
    <w:link w:val="5"/>
    <w:uiPriority w:val="99"/>
    <w:rPr>
      <w:rFonts w:ascii="Times New Roman" w:hAnsi="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tyles" Target="style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emf"/><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35</Pages>
  <Words>2849</Words>
  <Characters>16241</Characters>
  <Lines>135</Lines>
  <Paragraphs>38</Paragraphs>
  <TotalTime>0</TotalTime>
  <ScaleCrop>false</ScaleCrop>
  <LinksUpToDate>false</LinksUpToDate>
  <CharactersWithSpaces>0</CharactersWithSpaces>
  <Application>WPS Office_9.1.0.5119_F1E327BC-269C-435d-A152-05C5408002CA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2024-07-10T07:07:00Z</dcterms:created>
  <dc:creator>xb21cn</dc:creator>
  <cp:lastModifiedBy>Administrator</cp:lastModifiedBy>
  <dcterms:modified xsi:type="dcterms:W3CDTF">2024-07-10T09:27:41Z</dcterms:modified>
  <dc:title>湛江经济技术开发区畜禽养殖禁养区</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2052-9.1.0.5119</vt:lpwstr>
  </property>
  <property fmtid="{D5CDD505-2E9C-101B-9397-08002B2CF9AE}" pid="3" name="ICV">
    <vt:lpwstr>073372DCE1FD4BAD891F87E48C02345A_12</vt:lpwstr>
  </property>
</Properties>
</file>