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108597123"/>
      <w:bookmarkStart w:id="1" w:name="_Toc23011"/>
      <w:bookmarkStart w:id="2" w:name="_Toc307826682"/>
      <w:bookmarkStart w:id="3" w:name="_Toc307826053"/>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41508509"/>
      <w:bookmarkStart w:id="7" w:name="_Toc5847"/>
      <w:bookmarkStart w:id="8" w:name="_Toc19303"/>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4"/>
        <w:rPr>
          <w:rFonts w:ascii="宋体" w:hAnsi="宋体"/>
          <w:szCs w:val="21"/>
        </w:rPr>
      </w:pPr>
    </w:p>
    <w:p>
      <w:pPr>
        <w:pStyle w:val="14"/>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41508510"/>
      <w:bookmarkStart w:id="10" w:name="_Toc414"/>
      <w:bookmarkStart w:id="11" w:name="_Toc5335"/>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pageBreakBefore w:val="0"/>
        <w:widowControl/>
        <w:kinsoku/>
        <w:wordWrap/>
        <w:overflowPunct/>
        <w:topLinePunct w:val="0"/>
        <w:bidi w:val="0"/>
        <w:adjustRightInd/>
        <w:spacing w:before="188" w:after="188" w:line="560" w:lineRule="exact"/>
        <w:ind w:left="180"/>
        <w:jc w:val="center"/>
        <w:textAlignment w:val="auto"/>
        <w:rPr>
          <w:rFonts w:hAnsi="宋体"/>
          <w:sz w:val="24"/>
          <w:szCs w:val="24"/>
        </w:rPr>
      </w:pPr>
      <w:bookmarkStart w:id="12" w:name="_Toc26151"/>
      <w:bookmarkStart w:id="13" w:name="_Toc427837282"/>
      <w:bookmarkStart w:id="14" w:name="_Toc426557870"/>
      <w:r>
        <w:rPr>
          <w:rFonts w:hint="eastAsia" w:hAnsi="宋体"/>
          <w:sz w:val="24"/>
          <w:szCs w:val="24"/>
        </w:rPr>
        <w:t>供应商资格声明函</w:t>
      </w:r>
      <w:bookmarkEnd w:id="12"/>
      <w:bookmarkEnd w:id="13"/>
      <w:bookmarkEnd w:id="14"/>
    </w:p>
    <w:p>
      <w:pPr>
        <w:keepNext w:val="0"/>
        <w:keepLines w:val="0"/>
        <w:pageBreakBefore w:val="0"/>
        <w:kinsoku/>
        <w:wordWrap/>
        <w:overflowPunct/>
        <w:topLinePunct w:val="0"/>
        <w:bidi w:val="0"/>
        <w:adjustRightInd/>
        <w:spacing w:line="560" w:lineRule="exact"/>
        <w:textAlignment w:val="auto"/>
        <w:rPr>
          <w:rFonts w:ascii="宋体" w:hAnsi="宋体"/>
          <w:b/>
          <w:sz w:val="24"/>
        </w:rPr>
      </w:pPr>
      <w:r>
        <w:rPr>
          <w:rFonts w:hint="eastAsia" w:ascii="宋体" w:hAnsi="宋体"/>
          <w:b/>
          <w:sz w:val="24"/>
        </w:rPr>
        <w:t>湛江经济技术开发区</w:t>
      </w:r>
      <w:r>
        <w:rPr>
          <w:rFonts w:hint="eastAsia" w:ascii="宋体" w:hAnsi="宋体"/>
          <w:b/>
          <w:sz w:val="24"/>
          <w:lang w:val="en-US" w:eastAsia="zh-CN"/>
        </w:rPr>
        <w:t>代建项目管理局</w:t>
      </w:r>
      <w:r>
        <w:rPr>
          <w:rFonts w:hint="eastAsia" w:ascii="宋体" w:hAnsi="宋体"/>
          <w:b/>
          <w:sz w:val="24"/>
        </w:rPr>
        <w:t>:</w:t>
      </w:r>
    </w:p>
    <w:p>
      <w:pPr>
        <w:keepNext w:val="0"/>
        <w:keepLines w:val="0"/>
        <w:pageBreakBefore w:val="0"/>
        <w:kinsoku/>
        <w:wordWrap/>
        <w:overflowPunct/>
        <w:topLinePunct w:val="0"/>
        <w:bidi w:val="0"/>
        <w:adjustRightInd/>
        <w:snapToGrid w:val="0"/>
        <w:spacing w:beforeLines="50" w:line="560" w:lineRule="exact"/>
        <w:ind w:firstLine="600" w:firstLineChars="250"/>
        <w:textAlignment w:val="auto"/>
        <w:rPr>
          <w:rFonts w:ascii="宋体" w:hAnsi="宋体"/>
          <w:sz w:val="24"/>
        </w:rPr>
      </w:pPr>
      <w:r>
        <w:rPr>
          <w:rFonts w:hint="eastAsia" w:ascii="宋体" w:hAnsi="宋体"/>
          <w:sz w:val="24"/>
        </w:rPr>
        <w:t>关于</w:t>
      </w:r>
      <w:r>
        <w:rPr>
          <w:rFonts w:hint="eastAsia" w:ascii="宋体" w:hAnsi="宋体"/>
          <w:sz w:val="24"/>
          <w:lang w:eastAsia="zh-CN"/>
        </w:rPr>
        <w:t>贵</w:t>
      </w:r>
      <w:r>
        <w:rPr>
          <w:rFonts w:hint="eastAsia" w:ascii="宋体" w:hAnsi="宋体"/>
          <w:sz w:val="24"/>
          <w:lang w:val="en-US" w:eastAsia="zh-CN"/>
        </w:rPr>
        <w:t>单位</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keepNext w:val="0"/>
        <w:keepLines w:val="0"/>
        <w:pageBreakBefore w:val="0"/>
        <w:kinsoku/>
        <w:wordWrap/>
        <w:overflowPunct/>
        <w:topLinePunct w:val="0"/>
        <w:bidi w:val="0"/>
        <w:adjustRightInd/>
        <w:snapToGrid w:val="0"/>
        <w:spacing w:line="560" w:lineRule="exact"/>
        <w:ind w:firstLine="549" w:firstLineChars="229"/>
        <w:textAlignment w:val="auto"/>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keepNext w:val="0"/>
        <w:keepLines w:val="0"/>
        <w:pageBreakBefore w:val="0"/>
        <w:kinsoku/>
        <w:wordWrap/>
        <w:overflowPunct/>
        <w:topLinePunct w:val="0"/>
        <w:bidi w:val="0"/>
        <w:adjustRightInd/>
        <w:snapToGrid w:val="0"/>
        <w:spacing w:line="560" w:lineRule="exact"/>
        <w:ind w:firstLine="552" w:firstLineChars="229"/>
        <w:textAlignment w:val="auto"/>
        <w:rPr>
          <w:rFonts w:ascii="宋体" w:hAnsi="宋体"/>
          <w:sz w:val="24"/>
        </w:rPr>
      </w:pPr>
      <w:r>
        <w:rPr>
          <w:rFonts w:hint="eastAsia" w:ascii="宋体" w:hAnsi="宋体"/>
          <w:b/>
          <w:bCs/>
          <w:sz w:val="24"/>
        </w:rPr>
        <w:t>注：供应商需提供以下资料（以下资料必须加盖供应商公章，否则按无效磋商处理）</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4.报价表</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5.招标代理业绩。</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6.招标代理服务方案。</w:t>
      </w:r>
    </w:p>
    <w:p>
      <w:pPr>
        <w:keepNext w:val="0"/>
        <w:keepLines w:val="0"/>
        <w:pageBreakBefore w:val="0"/>
        <w:kinsoku/>
        <w:wordWrap/>
        <w:overflowPunct/>
        <w:topLinePunct w:val="0"/>
        <w:autoSpaceDE w:val="0"/>
        <w:autoSpaceDN w:val="0"/>
        <w:bidi w:val="0"/>
        <w:adjustRightInd/>
        <w:spacing w:line="560" w:lineRule="exact"/>
        <w:ind w:firstLine="480" w:firstLineChars="200"/>
        <w:textAlignment w:val="auto"/>
        <w:rPr>
          <w:rFonts w:ascii="宋体" w:hAnsi="宋体"/>
          <w:sz w:val="24"/>
        </w:rPr>
      </w:pPr>
      <w:r>
        <w:rPr>
          <w:rFonts w:hint="eastAsia" w:ascii="宋体" w:hAnsi="宋体"/>
          <w:sz w:val="24"/>
        </w:rPr>
        <w:t>（相关证明文件附后）</w:t>
      </w:r>
    </w:p>
    <w:p>
      <w:pPr>
        <w:pStyle w:val="7"/>
        <w:keepNext w:val="0"/>
        <w:keepLines w:val="0"/>
        <w:pageBreakBefore w:val="0"/>
        <w:kinsoku/>
        <w:wordWrap/>
        <w:overflowPunct/>
        <w:topLinePunct w:val="0"/>
        <w:bidi w:val="0"/>
        <w:adjustRightInd/>
        <w:spacing w:line="560" w:lineRule="exact"/>
        <w:textAlignment w:val="auto"/>
      </w:pPr>
    </w:p>
    <w:p>
      <w:pPr>
        <w:keepNext w:val="0"/>
        <w:keepLines w:val="0"/>
        <w:pageBreakBefore w:val="0"/>
        <w:tabs>
          <w:tab w:val="left" w:pos="2268"/>
        </w:tabs>
        <w:kinsoku/>
        <w:wordWrap/>
        <w:overflowPunct/>
        <w:topLinePunct w:val="0"/>
        <w:bidi w:val="0"/>
        <w:adjustRightInd/>
        <w:spacing w:line="560" w:lineRule="exact"/>
        <w:textAlignment w:val="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keepNext w:val="0"/>
        <w:keepLines w:val="0"/>
        <w:pageBreakBefore w:val="0"/>
        <w:tabs>
          <w:tab w:val="left" w:pos="2268"/>
        </w:tabs>
        <w:kinsoku/>
        <w:wordWrap/>
        <w:overflowPunct/>
        <w:topLinePunct w:val="0"/>
        <w:bidi w:val="0"/>
        <w:adjustRightInd/>
        <w:spacing w:line="560" w:lineRule="exact"/>
        <w:textAlignment w:val="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keepNext w:val="0"/>
        <w:keepLines w:val="0"/>
        <w:pageBreakBefore w:val="0"/>
        <w:tabs>
          <w:tab w:val="left" w:pos="2268"/>
        </w:tabs>
        <w:kinsoku/>
        <w:wordWrap/>
        <w:overflowPunct/>
        <w:topLinePunct w:val="0"/>
        <w:bidi w:val="0"/>
        <w:adjustRightInd/>
        <w:spacing w:line="560" w:lineRule="exact"/>
        <w:textAlignment w:val="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427837284"/>
      <w:bookmarkStart w:id="16" w:name="_Toc17265"/>
      <w:r>
        <w:rPr>
          <w:rFonts w:hint="eastAsia" w:hAnsi="宋体"/>
          <w:sz w:val="24"/>
          <w:szCs w:val="24"/>
        </w:rPr>
        <w:t>报价函</w:t>
      </w:r>
      <w:bookmarkEnd w:id="15"/>
      <w:bookmarkEnd w:id="16"/>
    </w:p>
    <w:p>
      <w:pPr>
        <w:spacing w:beforeLines="50" w:afterLines="50" w:line="420" w:lineRule="exact"/>
        <w:rPr>
          <w:rFonts w:hint="eastAsia" w:ascii="宋体" w:hAnsi="宋体" w:cs="Arial"/>
          <w:sz w:val="24"/>
          <w:lang w:eastAsia="zh-CN"/>
        </w:rPr>
      </w:pPr>
      <w:bookmarkStart w:id="17" w:name="_Toc360625939"/>
      <w:bookmarkStart w:id="18" w:name="_Toc494875416"/>
      <w:bookmarkStart w:id="19" w:name="_Toc506611607"/>
      <w:bookmarkStart w:id="20" w:name="_Toc506611815"/>
      <w:bookmarkStart w:id="21" w:name="_Toc506628558"/>
      <w:bookmarkStart w:id="22" w:name="_Toc484848558"/>
      <w:bookmarkStart w:id="23" w:name="_Toc484827213"/>
      <w:bookmarkStart w:id="24" w:name="_Toc490832206"/>
      <w:r>
        <w:rPr>
          <w:rFonts w:hint="eastAsia" w:ascii="宋体" w:hAnsi="宋体" w:cs="Arial"/>
          <w:sz w:val="24"/>
        </w:rPr>
        <w:t>致：湛江经济技术开发区</w:t>
      </w:r>
      <w:r>
        <w:rPr>
          <w:rFonts w:hint="eastAsia" w:ascii="宋体" w:hAnsi="宋体" w:cs="Arial"/>
          <w:sz w:val="24"/>
          <w:lang w:val="en-US" w:eastAsia="zh-CN"/>
        </w:rPr>
        <w:t>代建项目管理局</w:t>
      </w:r>
    </w:p>
    <w:p>
      <w:pPr>
        <w:spacing w:beforeLines="50" w:afterLines="50" w:line="420" w:lineRule="exact"/>
        <w:ind w:firstLine="420"/>
        <w:rPr>
          <w:rFonts w:ascii="宋体" w:hAnsi="宋体"/>
          <w:bCs/>
          <w:kern w:val="28"/>
          <w:sz w:val="24"/>
        </w:rPr>
      </w:pPr>
      <w:r>
        <w:rPr>
          <w:rFonts w:hint="eastAsia" w:ascii="宋体" w:hAnsi="宋体" w:cs="Arial"/>
          <w:sz w:val="24"/>
        </w:rPr>
        <w:t>根据贵</w:t>
      </w:r>
      <w:r>
        <w:rPr>
          <w:rFonts w:hint="eastAsia" w:ascii="宋体" w:hAnsi="宋体" w:cs="Arial"/>
          <w:sz w:val="24"/>
          <w:lang w:val="en-US" w:eastAsia="zh-CN"/>
        </w:rPr>
        <w:t>单位</w:t>
      </w:r>
      <w:r>
        <w:rPr>
          <w:rFonts w:hint="eastAsia" w:ascii="宋体" w:hAnsi="宋体" w:cs="Arial"/>
          <w:sz w:val="24"/>
        </w:rPr>
        <w:t>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lang w:val="en-US" w:eastAsia="zh-CN"/>
        </w:rPr>
        <w:t>贵单位</w:t>
      </w:r>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w:t>
      </w:r>
      <w:r>
        <w:rPr>
          <w:rFonts w:hint="eastAsia" w:ascii="宋体" w:hAnsi="宋体"/>
          <w:sz w:val="24"/>
          <w:lang w:val="en-US" w:eastAsia="zh-CN"/>
        </w:rPr>
        <w:t>单位</w:t>
      </w:r>
      <w:r>
        <w:rPr>
          <w:rFonts w:hint="eastAsia" w:ascii="宋体" w:hAnsi="宋体"/>
          <w:sz w:val="24"/>
        </w:rPr>
        <w:t>最终以湛江经开区财政局审定控制价为基数，按报价下浮率进行结算。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b/>
          <w:bCs/>
        </w:rPr>
      </w:pPr>
      <w:r>
        <w:rPr>
          <w:rFonts w:hint="eastAsia"/>
          <w:b/>
          <w:bCs/>
        </w:rPr>
        <w:t>报价表</w:t>
      </w:r>
    </w:p>
    <w:p>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rPr>
            </w:pPr>
            <w:r>
              <w:rPr>
                <w:rFonts w:hint="eastAsia" w:ascii="黑体" w:hAnsi="黑体" w:eastAsia="黑体"/>
              </w:rPr>
              <w:t>项目名称</w:t>
            </w:r>
          </w:p>
        </w:tc>
        <w:tc>
          <w:tcPr>
            <w:tcW w:w="2552" w:type="dxa"/>
            <w:vAlign w:val="center"/>
          </w:tcPr>
          <w:p>
            <w:pPr>
              <w:pStyle w:val="7"/>
              <w:jc w:val="center"/>
              <w:rPr>
                <w:rFonts w:ascii="黑体" w:hAnsi="黑体" w:eastAsia="黑体"/>
              </w:rPr>
            </w:pPr>
            <w:r>
              <w:rPr>
                <w:rFonts w:hint="eastAsia" w:ascii="黑体" w:hAnsi="黑体" w:eastAsia="黑体"/>
              </w:rPr>
              <w:t>报价下浮率（%）</w:t>
            </w:r>
          </w:p>
        </w:tc>
        <w:tc>
          <w:tcPr>
            <w:tcW w:w="1893" w:type="dxa"/>
            <w:vAlign w:val="center"/>
          </w:tcPr>
          <w:p>
            <w:pPr>
              <w:pStyle w:val="7"/>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7"/>
            </w:pPr>
          </w:p>
        </w:tc>
        <w:tc>
          <w:tcPr>
            <w:tcW w:w="2552" w:type="dxa"/>
          </w:tcPr>
          <w:p>
            <w:pPr>
              <w:pStyle w:val="7"/>
            </w:pPr>
          </w:p>
        </w:tc>
        <w:tc>
          <w:tcPr>
            <w:tcW w:w="1893" w:type="dxa"/>
          </w:tcPr>
          <w:p>
            <w:pPr>
              <w:pStyle w:val="7"/>
            </w:pPr>
          </w:p>
        </w:tc>
      </w:tr>
    </w:tbl>
    <w:p>
      <w:pPr>
        <w:pStyle w:val="7"/>
      </w:pPr>
      <w:r>
        <w:rPr>
          <w:rFonts w:hint="eastAsia"/>
        </w:rPr>
        <w:t>注：最终以湛江经开区财政局审定的控制价或国家计价标准下浮计结算价格。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7"/>
        <w:rPr>
          <w:b/>
          <w:bCs/>
          <w:szCs w:val="24"/>
        </w:rPr>
      </w:pPr>
    </w:p>
    <w:p>
      <w:pPr>
        <w:pStyle w:val="4"/>
        <w:spacing w:line="360" w:lineRule="auto"/>
        <w:jc w:val="center"/>
        <w:rPr>
          <w:rFonts w:ascii="宋体" w:hAns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hAnsi="宋体"/>
          <w:b/>
          <w:sz w:val="24"/>
          <w:szCs w:val="24"/>
        </w:rPr>
      </w:pPr>
      <w:r>
        <w:rPr>
          <w:rFonts w:hint="eastAsia" w:ascii="宋体" w:hAnsi="宋体"/>
          <w:b/>
          <w:sz w:val="24"/>
          <w:szCs w:val="24"/>
        </w:rPr>
        <w:t>法定代表人授权书</w:t>
      </w:r>
    </w:p>
    <w:p>
      <w:pPr>
        <w:pStyle w:val="7"/>
        <w:rPr>
          <w:b/>
          <w:bCs/>
          <w:szCs w:val="24"/>
        </w:rPr>
      </w:pPr>
    </w:p>
    <w:p>
      <w:pPr>
        <w:pStyle w:val="7"/>
        <w:rPr>
          <w:rFonts w:hint="eastAsia"/>
          <w:b/>
          <w:bCs/>
          <w:szCs w:val="24"/>
        </w:rPr>
      </w:pPr>
      <w:r>
        <w:rPr>
          <w:rFonts w:hint="eastAsia"/>
          <w:b/>
          <w:bCs/>
          <w:szCs w:val="24"/>
        </w:rPr>
        <w:t>致:湛江经济技术开发区</w:t>
      </w:r>
      <w:r>
        <w:rPr>
          <w:rFonts w:hint="eastAsia"/>
          <w:b/>
          <w:bCs/>
          <w:szCs w:val="24"/>
          <w:lang w:val="en-US" w:eastAsia="zh-CN"/>
        </w:rPr>
        <w:t>代建项目管理局</w:t>
      </w:r>
    </w:p>
    <w:p>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bookmarkStart w:id="25" w:name="_GoBack"/>
      <w:bookmarkEnd w:id="25"/>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pStyle w:val="2"/>
        <w:spacing w:before="0" w:after="0" w:line="360" w:lineRule="auto"/>
      </w:pPr>
      <w:r>
        <w:rPr>
          <w:rFonts w:hint="eastAsia"/>
        </w:rPr>
        <w:t>第二部分  评审办法</w:t>
      </w:r>
    </w:p>
    <w:p>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pPr>
        <w:spacing w:line="360" w:lineRule="auto"/>
        <w:jc w:val="center"/>
        <w:rPr>
          <w:rFonts w:ascii="宋体" w:hAnsi="宋体"/>
          <w:b/>
          <w:bCs/>
          <w:sz w:val="28"/>
        </w:rPr>
      </w:pPr>
      <w:r>
        <w:rPr>
          <w:rFonts w:hint="eastAsia" w:ascii="宋体" w:hAnsi="宋体"/>
          <w:b/>
          <w:bCs/>
          <w:sz w:val="28"/>
        </w:rPr>
        <w:t>技术评审表</w:t>
      </w:r>
    </w:p>
    <w:tbl>
      <w:tblPr>
        <w:tblStyle w:val="11"/>
        <w:tblW w:w="9934" w:type="dxa"/>
        <w:jc w:val="center"/>
        <w:tblLayout w:type="fixed"/>
        <w:tblCellMar>
          <w:top w:w="0" w:type="dxa"/>
          <w:left w:w="108" w:type="dxa"/>
          <w:bottom w:w="0" w:type="dxa"/>
          <w:right w:w="108" w:type="dxa"/>
        </w:tblCellMar>
      </w:tblPr>
      <w:tblGrid>
        <w:gridCol w:w="720"/>
        <w:gridCol w:w="1701"/>
        <w:gridCol w:w="6757"/>
        <w:gridCol w:w="756"/>
      </w:tblGrid>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分值</w:t>
            </w:r>
          </w:p>
        </w:tc>
      </w:tr>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sz w:val="24"/>
              </w:rPr>
            </w:pPr>
            <w:r>
              <w:rPr>
                <w:rFonts w:hint="eastAsia" w:ascii="宋体" w:hAnsi="宋体" w:cs="宋体"/>
                <w:sz w:val="24"/>
              </w:rPr>
              <w:t>5</w:t>
            </w:r>
          </w:p>
        </w:tc>
      </w:tr>
      <w:tr>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pPr>
              <w:pStyle w:val="14"/>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pPr>
              <w:pStyle w:val="14"/>
              <w:spacing w:line="360" w:lineRule="exact"/>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类似工程业绩</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自201</w:t>
            </w:r>
            <w:r>
              <w:rPr>
                <w:rFonts w:hint="eastAsia" w:ascii="宋体" w:hAnsi="宋体" w:cs="宋体"/>
                <w:sz w:val="24"/>
                <w:lang w:val="en-US" w:eastAsia="zh-CN"/>
              </w:rPr>
              <w:t>9</w:t>
            </w:r>
            <w:r>
              <w:rPr>
                <w:rFonts w:hint="eastAsia" w:ascii="宋体" w:hAnsi="宋体" w:cs="宋体"/>
                <w:sz w:val="24"/>
              </w:rPr>
              <w:t>年1月1日至今，供应商承接过类似工程项目，每项得2分，最多得10分。</w:t>
            </w:r>
          </w:p>
          <w:p>
            <w:pPr>
              <w:widowControl/>
              <w:spacing w:line="280" w:lineRule="exact"/>
              <w:jc w:val="left"/>
              <w:rPr>
                <w:rFonts w:ascii="宋体" w:hAnsi="宋体" w:cs="宋体"/>
                <w:sz w:val="24"/>
              </w:rPr>
            </w:pPr>
            <w:r>
              <w:rPr>
                <w:rFonts w:hint="eastAsia" w:ascii="宋体" w:hAnsi="宋体" w:cs="宋体"/>
                <w:b/>
                <w:bCs/>
                <w:sz w:val="24"/>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4</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招标代理服务方案</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1.方案明确具体、合理可行、针对性强的，得30-40分；</w:t>
            </w:r>
          </w:p>
          <w:p>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2.方案明确具体、合理可行性一般、针对性一般，得20-30分。</w:t>
            </w:r>
          </w:p>
          <w:p>
            <w:pPr>
              <w:widowControl/>
              <w:spacing w:line="280" w:lineRule="exact"/>
              <w:jc w:val="left"/>
              <w:rPr>
                <w:rFonts w:ascii="宋体" w:hAnsi="宋体" w:cs="宋体"/>
                <w:sz w:val="24"/>
              </w:rPr>
            </w:pPr>
            <w:r>
              <w:rPr>
                <w:rFonts w:hint="eastAsia" w:ascii="宋体" w:hAnsi="宋体" w:cs="宋体"/>
                <w:sz w:val="24"/>
              </w:rPr>
              <w:t>3.方案不明确、方法不可行、针对性一般，得10-20分。</w:t>
            </w:r>
          </w:p>
          <w:p>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40</w:t>
            </w:r>
          </w:p>
        </w:tc>
      </w:tr>
      <w:tr>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pPr>
              <w:pStyle w:val="14"/>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pPr>
              <w:pStyle w:val="14"/>
              <w:spacing w:line="400" w:lineRule="exact"/>
              <w:jc w:val="center"/>
              <w:rPr>
                <w:rFonts w:ascii="宋体" w:hAnsi="宋体" w:cs="宋体"/>
                <w:kern w:val="0"/>
                <w:sz w:val="24"/>
                <w:szCs w:val="24"/>
              </w:rPr>
            </w:pPr>
            <w:r>
              <w:rPr>
                <w:rFonts w:hint="eastAsia" w:ascii="宋体" w:hAnsi="宋体" w:cs="宋体"/>
                <w:kern w:val="0"/>
                <w:sz w:val="24"/>
                <w:szCs w:val="24"/>
              </w:rPr>
              <w:t>60</w:t>
            </w:r>
          </w:p>
        </w:tc>
      </w:tr>
    </w:tbl>
    <w:p>
      <w:pPr>
        <w:widowControl/>
        <w:jc w:val="left"/>
        <w:rPr>
          <w:rFonts w:ascii="宋体" w:hAnsi="宋体"/>
          <w:b/>
          <w:bCs/>
          <w:sz w:val="28"/>
        </w:rPr>
      </w:pPr>
      <w:r>
        <w:rPr>
          <w:rFonts w:hint="eastAsia" w:ascii="宋体" w:hAnsi="宋体"/>
          <w:b/>
          <w:bCs/>
          <w:sz w:val="28"/>
        </w:rPr>
        <w:t>附表二：</w:t>
      </w:r>
    </w:p>
    <w:p>
      <w:pPr>
        <w:spacing w:line="360" w:lineRule="auto"/>
        <w:jc w:val="center"/>
        <w:rPr>
          <w:rFonts w:ascii="宋体" w:hAnsi="宋体"/>
          <w:b/>
          <w:bCs/>
          <w:sz w:val="24"/>
        </w:rPr>
      </w:pPr>
      <w:r>
        <w:rPr>
          <w:rFonts w:hint="eastAsia" w:ascii="宋体" w:hAnsi="宋体"/>
          <w:b/>
          <w:bCs/>
          <w:sz w:val="28"/>
        </w:rPr>
        <w:t>商务评审</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1" w:type="dxa"/>
            <w:vAlign w:val="center"/>
          </w:tcPr>
          <w:p>
            <w:pPr>
              <w:spacing w:line="400" w:lineRule="exact"/>
              <w:jc w:val="center"/>
              <w:rPr>
                <w:rFonts w:ascii="宋体" w:hAnsi="宋体"/>
                <w:bCs/>
                <w:color w:val="000000"/>
                <w:sz w:val="24"/>
              </w:rPr>
            </w:pPr>
            <w:r>
              <w:rPr>
                <w:rFonts w:hint="eastAsia" w:ascii="宋体" w:hAnsi="宋体"/>
                <w:bCs/>
                <w:color w:val="000000"/>
                <w:sz w:val="24"/>
              </w:rPr>
              <w:t>商务部分</w:t>
            </w:r>
          </w:p>
          <w:p>
            <w:pPr>
              <w:spacing w:line="400" w:lineRule="exact"/>
              <w:jc w:val="center"/>
              <w:rPr>
                <w:rFonts w:ascii="宋体" w:hAnsi="宋体"/>
                <w:bCs/>
                <w:color w:val="000000"/>
                <w:sz w:val="24"/>
              </w:rPr>
            </w:pPr>
            <w:r>
              <w:rPr>
                <w:rFonts w:hint="eastAsia" w:ascii="宋体" w:hAnsi="宋体"/>
                <w:bCs/>
                <w:color w:val="000000"/>
                <w:sz w:val="24"/>
              </w:rPr>
              <w:t>（40分）</w:t>
            </w:r>
          </w:p>
        </w:tc>
        <w:tc>
          <w:tcPr>
            <w:tcW w:w="7512" w:type="dxa"/>
          </w:tcPr>
          <w:p>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1、评标基准价：以最接近有效平均下浮率的投标下浮率为评标基准下浮率（如报价超过5家以上的需除去一个最高、一个最低，求有效平均下浮率），基准下浮率为满分，即40分。</w:t>
            </w:r>
          </w:p>
          <w:p>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pPr>
        <w:tabs>
          <w:tab w:val="left" w:pos="567"/>
        </w:tabs>
        <w:snapToGrid w:val="0"/>
        <w:spacing w:line="360" w:lineRule="auto"/>
        <w:rPr>
          <w:rFonts w:ascii="宋体" w:hAnsi="宋体" w:cs="宋体"/>
          <w:b/>
          <w:sz w:val="24"/>
        </w:rPr>
      </w:pPr>
      <w:r>
        <w:rPr>
          <w:rFonts w:hint="eastAsia" w:ascii="宋体" w:hAnsi="宋体" w:cs="宋体"/>
          <w:b/>
          <w:sz w:val="24"/>
        </w:rPr>
        <w:t>评分汇总：</w:t>
      </w:r>
    </w:p>
    <w:p>
      <w:pPr>
        <w:snapToGrid w:val="0"/>
        <w:spacing w:line="360" w:lineRule="auto"/>
        <w:rPr>
          <w:rFonts w:ascii="宋体" w:hAnsi="宋体"/>
          <w:sz w:val="24"/>
        </w:rPr>
      </w:pPr>
      <w:r>
        <w:rPr>
          <w:rFonts w:hint="eastAsia" w:ascii="宋体" w:hAnsi="宋体"/>
          <w:sz w:val="24"/>
        </w:rPr>
        <w:t>技术部分</w:t>
      </w:r>
      <w:r>
        <w:rPr>
          <w:rFonts w:hint="eastAsia" w:ascii="宋体" w:hAnsi="宋体"/>
          <w:sz w:val="24"/>
          <w:lang w:eastAsia="zh-CN"/>
        </w:rPr>
        <w:t>总分</w:t>
      </w:r>
      <w:r>
        <w:rPr>
          <w:rFonts w:hint="eastAsia" w:ascii="宋体" w:hAnsi="宋体"/>
          <w:sz w:val="24"/>
        </w:rPr>
        <w:t xml:space="preserve">＝各评委评分的算术平均分   </w:t>
      </w:r>
      <w:r>
        <w:rPr>
          <w:rFonts w:hint="eastAsia" w:ascii="宋体" w:hAnsi="宋体"/>
          <w:sz w:val="24"/>
          <w:lang w:eastAsia="zh-CN"/>
        </w:rPr>
        <w:t>商务</w:t>
      </w:r>
      <w:r>
        <w:rPr>
          <w:rFonts w:hint="eastAsia" w:ascii="宋体" w:hAnsi="宋体"/>
          <w:sz w:val="24"/>
        </w:rPr>
        <w:t>部分</w:t>
      </w:r>
      <w:r>
        <w:rPr>
          <w:rFonts w:hint="eastAsia" w:ascii="宋体" w:hAnsi="宋体"/>
          <w:sz w:val="24"/>
          <w:lang w:eastAsia="zh-CN"/>
        </w:rPr>
        <w:t>总分</w:t>
      </w:r>
      <w:r>
        <w:rPr>
          <w:rFonts w:hint="eastAsia" w:ascii="宋体" w:hAnsi="宋体"/>
          <w:sz w:val="24"/>
        </w:rPr>
        <w:t>＝统一公式计算得分</w:t>
      </w:r>
    </w:p>
    <w:p>
      <w:pPr>
        <w:snapToGrid w:val="0"/>
        <w:spacing w:line="360" w:lineRule="auto"/>
        <w:rPr>
          <w:rFonts w:ascii="宋体" w:hAnsi="宋体"/>
          <w:sz w:val="24"/>
        </w:rPr>
      </w:pPr>
      <w:r>
        <w:rPr>
          <w:rFonts w:hint="eastAsia" w:ascii="宋体" w:hAnsi="宋体"/>
          <w:sz w:val="24"/>
        </w:rPr>
        <w:t>综合得分＝技术</w:t>
      </w:r>
      <w:r>
        <w:rPr>
          <w:rFonts w:hint="eastAsia" w:ascii="宋体" w:hAnsi="宋体"/>
          <w:sz w:val="24"/>
          <w:lang w:eastAsia="zh-CN"/>
        </w:rPr>
        <w:t>部分</w:t>
      </w:r>
      <w:r>
        <w:rPr>
          <w:rFonts w:hint="eastAsia" w:ascii="宋体" w:hAnsi="宋体"/>
          <w:sz w:val="24"/>
        </w:rPr>
        <w:t>总分+</w:t>
      </w:r>
      <w:r>
        <w:rPr>
          <w:rFonts w:hint="eastAsia" w:ascii="宋体" w:hAnsi="宋体"/>
          <w:sz w:val="24"/>
          <w:lang w:eastAsia="zh-CN"/>
        </w:rPr>
        <w:t>商务部分</w:t>
      </w:r>
      <w:r>
        <w:rPr>
          <w:rFonts w:hint="eastAsia" w:ascii="宋体" w:hAnsi="宋体"/>
          <w:sz w:val="24"/>
        </w:rPr>
        <w:t>总分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Nzg5NzRhNjJjNGQ0NmZkNGFiYzA3MDhlN2VhZTQ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14F32C7"/>
    <w:rsid w:val="25913701"/>
    <w:rsid w:val="2A7B2351"/>
    <w:rsid w:val="2D430AEC"/>
    <w:rsid w:val="36A20D80"/>
    <w:rsid w:val="3E032D27"/>
    <w:rsid w:val="4DA32452"/>
    <w:rsid w:val="5398599F"/>
    <w:rsid w:val="5CE467A6"/>
    <w:rsid w:val="61FF4F68"/>
    <w:rsid w:val="6B6F3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rPr>
      <w:rFonts w:eastAsia="宋体"/>
    </w:rPr>
  </w:style>
  <w:style w:type="paragraph" w:styleId="5">
    <w:name w:val="Body Text 3"/>
    <w:basedOn w:val="1"/>
    <w:link w:val="22"/>
    <w:autoRedefine/>
    <w:semiHidden/>
    <w:unhideWhenUsed/>
    <w:qFormat/>
    <w:uiPriority w:val="99"/>
    <w:pPr>
      <w:spacing w:after="120"/>
    </w:pPr>
    <w:rPr>
      <w:sz w:val="16"/>
      <w:szCs w:val="16"/>
    </w:rPr>
  </w:style>
  <w:style w:type="paragraph" w:styleId="6">
    <w:name w:val="Body Text"/>
    <w:basedOn w:val="1"/>
    <w:link w:val="21"/>
    <w:autoRedefine/>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autoRedefine/>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autoRedefine/>
    <w:qFormat/>
    <w:uiPriority w:val="0"/>
    <w:rPr>
      <w:rFonts w:ascii="Times New Roman" w:hAnsi="Times New Roman" w:eastAsia="宋体" w:cs="Times New Roman"/>
      <w:b/>
      <w:kern w:val="44"/>
      <w:sz w:val="32"/>
      <w:szCs w:val="20"/>
    </w:rPr>
  </w:style>
  <w:style w:type="character" w:customStyle="1" w:styleId="16">
    <w:name w:val="标题 2 Char"/>
    <w:basedOn w:val="13"/>
    <w:link w:val="3"/>
    <w:qFormat/>
    <w:uiPriority w:val="9"/>
    <w:rPr>
      <w:rFonts w:asciiTheme="majorHAnsi" w:hAnsiTheme="majorHAnsi" w:eastAsiaTheme="majorEastAsia" w:cstheme="majorBidi"/>
      <w:b/>
      <w:bCs/>
      <w:sz w:val="32"/>
      <w:szCs w:val="32"/>
    </w:rPr>
  </w:style>
  <w:style w:type="character" w:customStyle="1" w:styleId="17">
    <w:name w:val="纯文本 Char"/>
    <w:link w:val="7"/>
    <w:autoRedefine/>
    <w:qFormat/>
    <w:uiPriority w:val="99"/>
    <w:rPr>
      <w:rFonts w:ascii="宋体" w:hAnsi="Courier New" w:eastAsia="宋体"/>
      <w:sz w:val="24"/>
      <w:szCs w:val="21"/>
    </w:rPr>
  </w:style>
  <w:style w:type="character" w:customStyle="1" w:styleId="18">
    <w:name w:val="正文文本 Char"/>
    <w:link w:val="6"/>
    <w:autoRedefine/>
    <w:qFormat/>
    <w:uiPriority w:val="0"/>
    <w:rPr>
      <w:sz w:val="24"/>
      <w:szCs w:val="24"/>
    </w:rPr>
  </w:style>
  <w:style w:type="character" w:customStyle="1" w:styleId="19">
    <w:name w:val="纯文本 Char1"/>
    <w:basedOn w:val="13"/>
    <w:link w:val="7"/>
    <w:autoRedefine/>
    <w:semiHidden/>
    <w:qFormat/>
    <w:uiPriority w:val="99"/>
    <w:rPr>
      <w:rFonts w:ascii="宋体" w:hAnsi="Courier New" w:eastAsia="宋体" w:cs="Courier New"/>
      <w:szCs w:val="21"/>
    </w:rPr>
  </w:style>
  <w:style w:type="character" w:customStyle="1" w:styleId="20">
    <w:name w:val="页脚 Char"/>
    <w:basedOn w:val="13"/>
    <w:link w:val="8"/>
    <w:qFormat/>
    <w:uiPriority w:val="0"/>
    <w:rPr>
      <w:rFonts w:ascii="Times" w:hAnsi="Times" w:eastAsia="宋体" w:cs="Times New Roman"/>
      <w:sz w:val="18"/>
      <w:szCs w:val="18"/>
    </w:rPr>
  </w:style>
  <w:style w:type="character" w:customStyle="1" w:styleId="21">
    <w:name w:val="正文文本 Char1"/>
    <w:basedOn w:val="13"/>
    <w:link w:val="6"/>
    <w:autoRedefine/>
    <w:semiHidden/>
    <w:qFormat/>
    <w:uiPriority w:val="99"/>
  </w:style>
  <w:style w:type="character" w:customStyle="1" w:styleId="22">
    <w:name w:val="正文文本 3 Char"/>
    <w:basedOn w:val="13"/>
    <w:link w:val="5"/>
    <w:autoRedefine/>
    <w:semiHidden/>
    <w:qFormat/>
    <w:uiPriority w:val="99"/>
    <w:rPr>
      <w:sz w:val="16"/>
      <w:szCs w:val="16"/>
    </w:rPr>
  </w:style>
  <w:style w:type="character" w:customStyle="1" w:styleId="23">
    <w:name w:val="正文缩进 Char"/>
    <w:link w:val="4"/>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2292</Words>
  <Characters>2445</Characters>
  <Lines>23</Lines>
  <Paragraphs>6</Paragraphs>
  <TotalTime>9</TotalTime>
  <ScaleCrop>false</ScaleCrop>
  <LinksUpToDate>false</LinksUpToDate>
  <CharactersWithSpaces>3101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X1C5</cp:lastModifiedBy>
  <cp:lastPrinted>2024-02-27T01:43:00Z</cp:lastPrinted>
  <dcterms:modified xsi:type="dcterms:W3CDTF">2024-09-25T15:57:29Z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46CE209030BB4096BA1DB925AA27D6F9_13</vt:lpwstr>
  </property>
</Properties>
</file>