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4A30">
      <w:pPr>
        <w:jc w:val="center"/>
        <w:rPr>
          <w:rFonts w:asciiTheme="minorEastAsia" w:hAnsiTheme="minorEastAsia" w:eastAsiaTheme="minorEastAsia"/>
          <w:b/>
          <w:sz w:val="44"/>
          <w:szCs w:val="44"/>
        </w:rPr>
      </w:pPr>
    </w:p>
    <w:p w14:paraId="2A7BFCE9">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《关于进一步规范招商项目准入和加强项目服务的意见》起草情况的说明</w:t>
      </w:r>
    </w:p>
    <w:p w14:paraId="70EC7458">
      <w:pPr>
        <w:rPr>
          <w:rFonts w:ascii="仿宋" w:hAnsi="仿宋" w:eastAsia="仿宋"/>
          <w:sz w:val="32"/>
          <w:szCs w:val="32"/>
        </w:rPr>
      </w:pPr>
    </w:p>
    <w:p w14:paraId="2D7BEBE2">
      <w:pPr>
        <w:pStyle w:val="4"/>
        <w:kinsoku w:val="0"/>
        <w:overflowPunct w:val="0"/>
        <w:spacing w:before="4"/>
        <w:ind w:left="210" w:leftChars="100" w:firstLine="480" w:firstLineChars="150"/>
        <w:rPr>
          <w:rFonts w:ascii="仿宋" w:hAnsi="仿宋" w:eastAsia="仿宋"/>
          <w:color w:val="383838"/>
        </w:rPr>
      </w:pPr>
      <w:r>
        <w:rPr>
          <w:rFonts w:hint="eastAsia" w:ascii="仿宋" w:hAnsi="仿宋" w:eastAsia="仿宋"/>
          <w:color w:val="383838"/>
        </w:rPr>
        <w:t>一、目的和意义</w:t>
      </w:r>
    </w:p>
    <w:p w14:paraId="1FC1952A">
      <w:pPr>
        <w:ind w:firstLine="640" w:firstLineChars="200"/>
        <w:rPr>
          <w:rFonts w:ascii="仿宋" w:hAnsi="仿宋" w:eastAsia="仿宋"/>
          <w:sz w:val="32"/>
          <w:szCs w:val="32"/>
        </w:rPr>
      </w:pPr>
      <w:r>
        <w:rPr>
          <w:rFonts w:hint="eastAsia" w:ascii="仿宋" w:hAnsi="仿宋" w:eastAsia="仿宋"/>
          <w:sz w:val="32"/>
          <w:szCs w:val="32"/>
        </w:rPr>
        <w:t>为促进投资，规范项目准入程序，近年来，区管委会相继制定出台了《关于规范投资项目准入的意见》（湛开办〔2018〕15号）、《关于进一步规范招商项目准入的意见》（湛开办规〔2020〕2号）等系列文件。这些文件作为我区招商引资工作的指导性文</w:t>
      </w:r>
      <w:r>
        <w:rPr>
          <w:rFonts w:hint="eastAsia" w:ascii="仿宋" w:hAnsi="仿宋" w:eastAsia="仿宋"/>
          <w:sz w:val="32"/>
          <w:szCs w:val="32"/>
        </w:rPr>
        <w:tab/>
      </w:r>
      <w:r>
        <w:rPr>
          <w:rFonts w:hint="eastAsia" w:ascii="仿宋" w:hAnsi="仿宋" w:eastAsia="仿宋"/>
          <w:sz w:val="32"/>
          <w:szCs w:val="32"/>
        </w:rPr>
        <w:t>件，完善了招商选资机制，引入专家或协会论证评审机制，促进了项目准入的规范性和科学性。</w:t>
      </w:r>
    </w:p>
    <w:p w14:paraId="437485D6">
      <w:pPr>
        <w:pStyle w:val="4"/>
        <w:kinsoku w:val="0"/>
        <w:overflowPunct w:val="0"/>
        <w:spacing w:before="8"/>
        <w:ind w:left="210" w:leftChars="100" w:firstLine="480" w:firstLineChars="150"/>
        <w:rPr>
          <w:rFonts w:ascii="仿宋" w:hAnsi="仿宋" w:eastAsia="仿宋"/>
        </w:rPr>
      </w:pPr>
      <w:r>
        <w:rPr>
          <w:rFonts w:hint="eastAsia" w:ascii="仿宋" w:hAnsi="仿宋" w:eastAsia="仿宋"/>
        </w:rPr>
        <w:t>湛江经开区2020年出台的《关于进一步规范招商项目准入的意见》（湛开办规〔2020〕2号）于2023年12月22日到期。为做好招商项目准入衔接，进一步规范项目准入流程，在项目服务、事项审批方面提高效率，引入督办机制，优先保障符合产业发展方向的优质项目落户和土地的集约高效使用,需要对我区招商项目准入和服务方面进行补充完善。</w:t>
      </w:r>
    </w:p>
    <w:p w14:paraId="301F7C41">
      <w:pPr>
        <w:pStyle w:val="4"/>
        <w:kinsoku w:val="0"/>
        <w:overflowPunct w:val="0"/>
        <w:spacing w:before="16"/>
        <w:ind w:left="210" w:leftChars="100" w:firstLine="627" w:firstLineChars="196"/>
        <w:rPr>
          <w:rFonts w:ascii="仿宋" w:hAnsi="仿宋" w:eastAsia="仿宋"/>
        </w:rPr>
      </w:pPr>
      <w:r>
        <w:rPr>
          <w:rFonts w:hint="eastAsia" w:ascii="仿宋" w:hAnsi="仿宋" w:eastAsia="仿宋"/>
        </w:rPr>
        <w:t>二、起草过程</w:t>
      </w:r>
    </w:p>
    <w:p w14:paraId="30636BE3">
      <w:pPr>
        <w:pStyle w:val="4"/>
        <w:kinsoku w:val="0"/>
        <w:overflowPunct w:val="0"/>
        <w:spacing w:before="16"/>
        <w:ind w:left="210" w:leftChars="100" w:firstLine="627" w:firstLineChars="196"/>
        <w:rPr>
          <w:rFonts w:ascii="仿宋" w:hAnsi="仿宋" w:eastAsia="仿宋"/>
        </w:rPr>
      </w:pPr>
      <w:r>
        <w:rPr>
          <w:rFonts w:hint="eastAsia" w:ascii="仿宋" w:hAnsi="仿宋" w:eastAsia="仿宋"/>
        </w:rPr>
        <w:t>本意见的起草，主要是结合招商项目准入以及推进落地开工过程中企业反映较多</w:t>
      </w:r>
      <w:bookmarkStart w:id="0" w:name="_GoBack"/>
      <w:bookmarkEnd w:id="0"/>
      <w:r>
        <w:rPr>
          <w:rFonts w:hint="eastAsia" w:ascii="仿宋" w:hAnsi="仿宋" w:eastAsia="仿宋"/>
        </w:rPr>
        <w:t>的堵点、难点问题，由区投促小组在原意见基础上，对相关条款进行了研究梳理，着重在部门联动协调、项目并联审批、全程代办方面进行加强，并按照规定完成以下程序：</w:t>
      </w:r>
    </w:p>
    <w:p w14:paraId="2001F25B">
      <w:pPr>
        <w:pStyle w:val="4"/>
        <w:kinsoku w:val="0"/>
        <w:overflowPunct w:val="0"/>
        <w:spacing w:before="8"/>
        <w:ind w:left="210" w:leftChars="100" w:firstLine="480" w:firstLineChars="150"/>
        <w:jc w:val="both"/>
        <w:rPr>
          <w:rFonts w:ascii="仿宋" w:hAnsi="仿宋" w:eastAsia="仿宋"/>
        </w:rPr>
      </w:pPr>
      <w:r>
        <w:rPr>
          <w:rFonts w:hint="eastAsia" w:ascii="仿宋" w:hAnsi="仿宋" w:eastAsia="仿宋"/>
        </w:rPr>
        <w:t>（一）参考相关文件。本意见主要参考了《湛江市工业园区产业招商准入标准（试行）》、《湛江市工业项目“全程代办”工作方案（试行）》、《关于做好湛江市重大项目并联审批工作的通知》、《湛江市人民政府办公室关于印发湛江市招商引资工作精细化管理实施方案的通知》、《湛江经济技术开发区重大项目并联审批工作专班组建方案》、《湛江经济技术开发区投资项目代办服务制度（试行）》、《湛江经开区重点项目协调推进工作机制》等文件，结合经开区招商实际情况，进行吸收完善。</w:t>
      </w:r>
    </w:p>
    <w:p w14:paraId="45024B20">
      <w:pPr>
        <w:pStyle w:val="4"/>
        <w:kinsoku w:val="0"/>
        <w:overflowPunct w:val="0"/>
        <w:spacing w:before="9"/>
        <w:ind w:left="210" w:leftChars="100" w:firstLine="640" w:firstLineChars="200"/>
        <w:rPr>
          <w:rFonts w:ascii="仿宋" w:hAnsi="仿宋" w:eastAsia="仿宋"/>
        </w:rPr>
      </w:pPr>
      <w:r>
        <w:rPr>
          <w:rFonts w:hint="eastAsia" w:ascii="仿宋" w:hAnsi="仿宋" w:eastAsia="仿宋"/>
        </w:rPr>
        <w:t>（二）征求相关职能部门意见。2023年11月13日就该意见第一次征求了区各相关职能部门意见；2023年12月13日，第二次征求了区各相关职能部门意见，并就相关建议进行了积极采纳。</w:t>
      </w:r>
    </w:p>
    <w:p w14:paraId="2C668AD9">
      <w:pPr>
        <w:pStyle w:val="4"/>
        <w:kinsoku w:val="0"/>
        <w:overflowPunct w:val="0"/>
        <w:spacing w:before="8"/>
        <w:ind w:left="210" w:leftChars="100" w:firstLine="480" w:firstLineChars="150"/>
        <w:rPr>
          <w:rFonts w:ascii="仿宋" w:hAnsi="仿宋" w:eastAsia="仿宋"/>
        </w:rPr>
      </w:pPr>
      <w:r>
        <w:rPr>
          <w:rFonts w:hint="eastAsia" w:ascii="仿宋" w:hAnsi="仿宋" w:eastAsia="仿宋"/>
        </w:rPr>
        <w:t>目前文件已根据第二次征求意见的收集意见修改完毕。</w:t>
      </w:r>
    </w:p>
    <w:p w14:paraId="48D4BFC6">
      <w:pPr>
        <w:pStyle w:val="4"/>
        <w:kinsoku w:val="0"/>
        <w:overflowPunct w:val="0"/>
        <w:spacing w:before="8"/>
        <w:ind w:left="210" w:leftChars="100" w:firstLine="640" w:firstLineChars="200"/>
        <w:rPr>
          <w:rFonts w:ascii="仿宋" w:hAnsi="仿宋" w:eastAsia="仿宋"/>
        </w:rPr>
      </w:pPr>
      <w:r>
        <w:rPr>
          <w:rFonts w:hint="eastAsia" w:ascii="仿宋" w:hAnsi="仿宋" w:eastAsia="仿宋"/>
        </w:rPr>
        <w:t>（三）开展公平竞争审查。根据《国务院关于在市场体系建设中建立公平竟争审查制度的意见》（国发[2016]34号）及其实施细则中“自我审查“要求，由文件起草部门区投资促进工作小组进行“自我审查”，经对照公平竟争审查制度18条标准逐条进行审查，不违反任何一项标准，可以出台实施。</w:t>
      </w:r>
    </w:p>
    <w:p w14:paraId="64D4AE89">
      <w:pPr>
        <w:pStyle w:val="4"/>
        <w:kinsoku w:val="0"/>
        <w:overflowPunct w:val="0"/>
        <w:spacing w:before="31"/>
        <w:ind w:firstLine="640" w:firstLineChars="200"/>
        <w:rPr>
          <w:rFonts w:ascii="仿宋" w:hAnsi="仿宋" w:eastAsia="仿宋"/>
        </w:rPr>
      </w:pPr>
      <w:r>
        <w:rPr>
          <w:rFonts w:hint="eastAsia" w:ascii="仿宋" w:hAnsi="仿宋" w:eastAsia="仿宋"/>
        </w:rPr>
        <w:t>三、有关条款</w:t>
      </w:r>
      <w:r>
        <w:rPr>
          <w:rFonts w:hint="eastAsia" w:ascii="仿宋" w:hAnsi="仿宋" w:eastAsia="仿宋"/>
          <w:color w:val="38383A"/>
          <w:w w:val="105"/>
        </w:rPr>
        <w:t>修改内容</w:t>
      </w:r>
      <w:r>
        <w:rPr>
          <w:rFonts w:hint="eastAsia" w:ascii="仿宋" w:hAnsi="仿宋" w:eastAsia="仿宋"/>
        </w:rPr>
        <w:t>说明</w:t>
      </w:r>
    </w:p>
    <w:p w14:paraId="1E40DF0E">
      <w:pPr>
        <w:pStyle w:val="4"/>
        <w:kinsoku w:val="0"/>
        <w:overflowPunct w:val="0"/>
        <w:spacing w:before="31"/>
        <w:ind w:firstLine="672" w:firstLineChars="200"/>
        <w:rPr>
          <w:rFonts w:ascii="仿宋" w:hAnsi="仿宋" w:eastAsia="仿宋"/>
          <w:color w:val="38383A"/>
          <w:w w:val="105"/>
        </w:rPr>
      </w:pPr>
      <w:r>
        <w:rPr>
          <w:rFonts w:hint="eastAsia" w:ascii="仿宋" w:hAnsi="仿宋" w:eastAsia="仿宋"/>
          <w:color w:val="38383A"/>
          <w:w w:val="105"/>
        </w:rPr>
        <w:t>1、适用范围</w:t>
      </w:r>
    </w:p>
    <w:p w14:paraId="31F63D6B">
      <w:pPr>
        <w:pStyle w:val="4"/>
        <w:kinsoku w:val="0"/>
        <w:overflowPunct w:val="0"/>
        <w:spacing w:before="31"/>
        <w:ind w:firstLine="672" w:firstLineChars="200"/>
        <w:rPr>
          <w:rFonts w:ascii="仿宋" w:hAnsi="仿宋" w:eastAsia="仿宋"/>
          <w:color w:val="38383A"/>
          <w:w w:val="105"/>
        </w:rPr>
      </w:pPr>
      <w:r>
        <w:rPr>
          <w:rFonts w:hint="eastAsia" w:ascii="仿宋" w:hAnsi="仿宋" w:eastAsia="仿宋"/>
          <w:color w:val="38383A"/>
          <w:w w:val="105"/>
        </w:rPr>
        <w:t>由“投资湛江经开区的招商项目”修改“为投资湛江经开区的政府供地招商项目”。</w:t>
      </w:r>
    </w:p>
    <w:p w14:paraId="5E62DC75">
      <w:pPr>
        <w:pStyle w:val="4"/>
        <w:kinsoku w:val="0"/>
        <w:overflowPunct w:val="0"/>
        <w:spacing w:before="31"/>
        <w:ind w:firstLine="672" w:firstLineChars="200"/>
        <w:rPr>
          <w:rFonts w:ascii="仿宋" w:hAnsi="仿宋" w:eastAsia="仿宋"/>
          <w:color w:val="38383A"/>
          <w:w w:val="105"/>
        </w:rPr>
      </w:pPr>
      <w:r>
        <w:rPr>
          <w:rFonts w:hint="eastAsia" w:ascii="仿宋" w:hAnsi="仿宋" w:eastAsia="仿宋"/>
          <w:color w:val="38383A"/>
          <w:w w:val="105"/>
        </w:rPr>
        <w:t>根据招商准入工作实际情况，不供地招商项目无需走准入流程。</w:t>
      </w:r>
    </w:p>
    <w:p w14:paraId="390CAFEE">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2、</w:t>
      </w:r>
      <w:r>
        <w:rPr>
          <w:rFonts w:ascii="仿宋" w:hAnsi="仿宋" w:eastAsia="仿宋" w:cs="宋体"/>
          <w:color w:val="38383A"/>
          <w:w w:val="105"/>
          <w:kern w:val="0"/>
          <w:sz w:val="32"/>
          <w:szCs w:val="32"/>
        </w:rPr>
        <w:t>在同等条件下优先准入</w:t>
      </w:r>
      <w:r>
        <w:rPr>
          <w:rFonts w:hint="eastAsia" w:ascii="仿宋" w:hAnsi="仿宋" w:eastAsia="仿宋" w:cs="宋体"/>
          <w:color w:val="38383A"/>
          <w:w w:val="105"/>
          <w:kern w:val="0"/>
          <w:sz w:val="32"/>
          <w:szCs w:val="32"/>
        </w:rPr>
        <w:t>企业</w:t>
      </w:r>
    </w:p>
    <w:p w14:paraId="4332D7A6">
      <w:pPr>
        <w:widowControl/>
        <w:ind w:firstLine="672" w:firstLineChars="200"/>
        <w:jc w:val="left"/>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由原“投资主体是世界500强企业、中国500强企业、优质上市公司、行业龙头企业、国家高新技术企业、设有省级以上实验室的企业优先”修改为：</w:t>
      </w:r>
    </w:p>
    <w:p w14:paraId="04729055">
      <w:pPr>
        <w:widowControl/>
        <w:ind w:firstLine="672" w:firstLineChars="200"/>
        <w:jc w:val="left"/>
        <w:rPr>
          <w:rFonts w:ascii="仿宋" w:hAnsi="仿宋" w:eastAsia="仿宋" w:cs="宋体"/>
          <w:color w:val="38383A"/>
          <w:w w:val="105"/>
          <w:kern w:val="0"/>
          <w:sz w:val="32"/>
          <w:szCs w:val="32"/>
        </w:rPr>
      </w:pPr>
      <w:r>
        <w:rPr>
          <w:rFonts w:ascii="仿宋" w:hAnsi="仿宋" w:eastAsia="仿宋" w:cs="宋体"/>
          <w:color w:val="38383A"/>
          <w:w w:val="105"/>
          <w:kern w:val="0"/>
          <w:sz w:val="32"/>
          <w:szCs w:val="32"/>
        </w:rPr>
        <w:t>（</w:t>
      </w:r>
      <w:r>
        <w:rPr>
          <w:rFonts w:hint="eastAsia" w:ascii="仿宋" w:hAnsi="仿宋" w:eastAsia="仿宋" w:cs="宋体"/>
          <w:color w:val="38383A"/>
          <w:w w:val="105"/>
          <w:kern w:val="0"/>
          <w:sz w:val="32"/>
          <w:szCs w:val="32"/>
        </w:rPr>
        <w:t>1</w:t>
      </w:r>
      <w:r>
        <w:rPr>
          <w:rFonts w:ascii="仿宋" w:hAnsi="仿宋" w:eastAsia="仿宋" w:cs="宋体"/>
          <w:color w:val="38383A"/>
          <w:w w:val="105"/>
          <w:kern w:val="0"/>
          <w:sz w:val="32"/>
          <w:szCs w:val="32"/>
        </w:rPr>
        <w:t>）投资主体是世界500强、中国500强、央企、行业领军企业</w:t>
      </w:r>
      <w:r>
        <w:rPr>
          <w:rFonts w:hint="eastAsia" w:ascii="仿宋" w:hAnsi="仿宋" w:eastAsia="仿宋" w:cs="宋体"/>
          <w:color w:val="38383A"/>
          <w:w w:val="105"/>
          <w:kern w:val="0"/>
          <w:sz w:val="32"/>
          <w:szCs w:val="32"/>
        </w:rPr>
        <w:t>、</w:t>
      </w:r>
      <w:r>
        <w:rPr>
          <w:rFonts w:ascii="仿宋" w:hAnsi="仿宋" w:eastAsia="仿宋" w:cs="宋体"/>
          <w:color w:val="38383A"/>
          <w:w w:val="105"/>
          <w:kern w:val="0"/>
          <w:sz w:val="32"/>
          <w:szCs w:val="32"/>
        </w:rPr>
        <w:t>上市公司</w:t>
      </w:r>
      <w:r>
        <w:rPr>
          <w:rFonts w:hint="eastAsia" w:ascii="仿宋" w:hAnsi="仿宋" w:eastAsia="仿宋" w:cs="宋体"/>
          <w:color w:val="38383A"/>
          <w:w w:val="105"/>
          <w:kern w:val="0"/>
          <w:sz w:val="32"/>
          <w:szCs w:val="32"/>
        </w:rPr>
        <w:t>、独角兽或专精特新企业。</w:t>
      </w:r>
    </w:p>
    <w:p w14:paraId="23034C54">
      <w:pPr>
        <w:widowControl/>
        <w:ind w:firstLine="672" w:firstLineChars="200"/>
        <w:jc w:val="left"/>
        <w:rPr>
          <w:rFonts w:ascii="仿宋" w:hAnsi="仿宋" w:eastAsia="仿宋" w:cs="宋体"/>
          <w:color w:val="38383A"/>
          <w:w w:val="105"/>
          <w:kern w:val="0"/>
          <w:sz w:val="32"/>
          <w:szCs w:val="32"/>
        </w:rPr>
      </w:pPr>
      <w:r>
        <w:rPr>
          <w:rFonts w:ascii="仿宋" w:hAnsi="仿宋" w:eastAsia="仿宋" w:cs="宋体"/>
          <w:color w:val="38383A"/>
          <w:w w:val="105"/>
          <w:kern w:val="0"/>
          <w:sz w:val="32"/>
          <w:szCs w:val="32"/>
        </w:rPr>
        <w:t>（</w:t>
      </w:r>
      <w:r>
        <w:rPr>
          <w:rFonts w:hint="eastAsia" w:ascii="仿宋" w:hAnsi="仿宋" w:eastAsia="仿宋" w:cs="宋体"/>
          <w:color w:val="38383A"/>
          <w:w w:val="105"/>
          <w:kern w:val="0"/>
          <w:sz w:val="32"/>
          <w:szCs w:val="32"/>
        </w:rPr>
        <w:t>2</w:t>
      </w:r>
      <w:r>
        <w:rPr>
          <w:rFonts w:ascii="仿宋" w:hAnsi="仿宋" w:eastAsia="仿宋" w:cs="宋体"/>
          <w:color w:val="38383A"/>
          <w:w w:val="105"/>
          <w:kern w:val="0"/>
          <w:sz w:val="32"/>
          <w:szCs w:val="32"/>
        </w:rPr>
        <w:t>）投资主体是国家级品牌企业或国家重点支持的高新技术企业，建有经认定的博士后工作站、省级以上企业技术中心、工程技术研究中心、重点实验室，团队核心成员是海外或省级以上领军人才。</w:t>
      </w:r>
    </w:p>
    <w:p w14:paraId="4DA60A25">
      <w:pPr>
        <w:widowControl/>
        <w:ind w:firstLine="672" w:firstLineChars="200"/>
        <w:jc w:val="left"/>
        <w:rPr>
          <w:rFonts w:ascii="仿宋" w:hAnsi="仿宋" w:eastAsia="仿宋" w:cs="宋体"/>
          <w:color w:val="38383A"/>
          <w:w w:val="105"/>
          <w:kern w:val="0"/>
          <w:sz w:val="32"/>
          <w:szCs w:val="32"/>
        </w:rPr>
      </w:pPr>
      <w:r>
        <w:rPr>
          <w:rFonts w:ascii="仿宋" w:hAnsi="仿宋" w:eastAsia="仿宋" w:cs="宋体"/>
          <w:color w:val="38383A"/>
          <w:w w:val="105"/>
          <w:kern w:val="0"/>
          <w:sz w:val="32"/>
          <w:szCs w:val="32"/>
        </w:rPr>
        <w:t>（</w:t>
      </w:r>
      <w:r>
        <w:rPr>
          <w:rFonts w:hint="eastAsia" w:ascii="仿宋" w:hAnsi="仿宋" w:eastAsia="仿宋" w:cs="宋体"/>
          <w:color w:val="38383A"/>
          <w:w w:val="105"/>
          <w:kern w:val="0"/>
          <w:sz w:val="32"/>
          <w:szCs w:val="32"/>
        </w:rPr>
        <w:t>3</w:t>
      </w:r>
      <w:r>
        <w:rPr>
          <w:rFonts w:ascii="仿宋" w:hAnsi="仿宋" w:eastAsia="仿宋" w:cs="宋体"/>
          <w:color w:val="38383A"/>
          <w:w w:val="105"/>
          <w:kern w:val="0"/>
          <w:sz w:val="32"/>
          <w:szCs w:val="32"/>
        </w:rPr>
        <w:t>）属于国家、省重点支持高新技术领域，在核心关键技术拥有自主知识产权。</w:t>
      </w:r>
    </w:p>
    <w:p w14:paraId="7DEB4F85">
      <w:pPr>
        <w:widowControl/>
        <w:ind w:firstLine="672" w:firstLineChars="200"/>
        <w:jc w:val="left"/>
        <w:rPr>
          <w:rFonts w:ascii="仿宋" w:hAnsi="仿宋" w:eastAsia="仿宋" w:cs="宋体"/>
          <w:color w:val="38383A"/>
          <w:w w:val="105"/>
          <w:kern w:val="0"/>
          <w:sz w:val="32"/>
          <w:szCs w:val="32"/>
        </w:rPr>
      </w:pPr>
      <w:r>
        <w:rPr>
          <w:rFonts w:ascii="仿宋" w:hAnsi="仿宋" w:eastAsia="仿宋" w:cs="宋体"/>
          <w:color w:val="38383A"/>
          <w:w w:val="105"/>
          <w:kern w:val="0"/>
          <w:sz w:val="32"/>
          <w:szCs w:val="32"/>
        </w:rPr>
        <w:t>（</w:t>
      </w:r>
      <w:r>
        <w:rPr>
          <w:rFonts w:hint="eastAsia" w:ascii="仿宋" w:hAnsi="仿宋" w:eastAsia="仿宋" w:cs="宋体"/>
          <w:color w:val="38383A"/>
          <w:w w:val="105"/>
          <w:kern w:val="0"/>
          <w:sz w:val="32"/>
          <w:szCs w:val="32"/>
        </w:rPr>
        <w:t>4</w:t>
      </w:r>
      <w:r>
        <w:rPr>
          <w:rFonts w:ascii="仿宋" w:hAnsi="仿宋" w:eastAsia="仿宋" w:cs="宋体"/>
          <w:color w:val="38383A"/>
          <w:w w:val="105"/>
          <w:kern w:val="0"/>
          <w:sz w:val="32"/>
          <w:szCs w:val="32"/>
        </w:rPr>
        <w:t>）符合《广东省发展改革委关于进一步明确我省优先发展产业的通知》（粤发改产业函</w:t>
      </w:r>
      <w:r>
        <w:rPr>
          <w:rFonts w:hint="eastAsia" w:ascii="仿宋" w:hAnsi="仿宋" w:eastAsia="仿宋" w:cs="宋体"/>
          <w:color w:val="38383A"/>
          <w:w w:val="105"/>
          <w:kern w:val="0"/>
          <w:sz w:val="32"/>
          <w:szCs w:val="32"/>
        </w:rPr>
        <w:t>〔</w:t>
      </w:r>
      <w:r>
        <w:rPr>
          <w:rFonts w:ascii="仿宋" w:hAnsi="仿宋" w:eastAsia="仿宋" w:cs="宋体"/>
          <w:color w:val="38383A"/>
          <w:w w:val="105"/>
          <w:kern w:val="0"/>
          <w:sz w:val="32"/>
          <w:szCs w:val="32"/>
        </w:rPr>
        <w:t>2019</w:t>
      </w:r>
      <w:r>
        <w:rPr>
          <w:rFonts w:hint="eastAsia" w:ascii="仿宋" w:hAnsi="仿宋" w:eastAsia="仿宋" w:cs="宋体"/>
          <w:color w:val="38383A"/>
          <w:w w:val="105"/>
          <w:kern w:val="0"/>
          <w:sz w:val="32"/>
          <w:szCs w:val="32"/>
        </w:rPr>
        <w:t>〕</w:t>
      </w:r>
      <w:r>
        <w:rPr>
          <w:rFonts w:ascii="仿宋" w:hAnsi="仿宋" w:eastAsia="仿宋" w:cs="宋体"/>
          <w:color w:val="38383A"/>
          <w:w w:val="105"/>
          <w:kern w:val="0"/>
          <w:sz w:val="32"/>
          <w:szCs w:val="32"/>
        </w:rPr>
        <w:t>397号）的企业。</w:t>
      </w:r>
    </w:p>
    <w:p w14:paraId="08911916">
      <w:pPr>
        <w:widowControl/>
        <w:ind w:firstLine="672" w:firstLineChars="200"/>
        <w:jc w:val="left"/>
        <w:rPr>
          <w:rFonts w:ascii="仿宋" w:hAnsi="仿宋" w:eastAsia="仿宋" w:cs="宋体"/>
          <w:color w:val="38383A"/>
          <w:w w:val="105"/>
          <w:kern w:val="0"/>
          <w:sz w:val="32"/>
          <w:szCs w:val="32"/>
        </w:rPr>
      </w:pPr>
      <w:r>
        <w:rPr>
          <w:rFonts w:ascii="仿宋" w:hAnsi="仿宋" w:eastAsia="仿宋" w:cs="宋体"/>
          <w:color w:val="38383A"/>
          <w:w w:val="105"/>
          <w:kern w:val="0"/>
          <w:sz w:val="32"/>
          <w:szCs w:val="32"/>
        </w:rPr>
        <w:t>（</w:t>
      </w:r>
      <w:r>
        <w:rPr>
          <w:rFonts w:hint="eastAsia" w:ascii="仿宋" w:hAnsi="仿宋" w:eastAsia="仿宋" w:cs="宋体"/>
          <w:color w:val="38383A"/>
          <w:w w:val="105"/>
          <w:kern w:val="0"/>
          <w:sz w:val="32"/>
          <w:szCs w:val="32"/>
        </w:rPr>
        <w:t>5</w:t>
      </w:r>
      <w:r>
        <w:rPr>
          <w:rFonts w:ascii="仿宋" w:hAnsi="仿宋" w:eastAsia="仿宋" w:cs="宋体"/>
          <w:color w:val="38383A"/>
          <w:w w:val="105"/>
          <w:kern w:val="0"/>
          <w:sz w:val="32"/>
          <w:szCs w:val="32"/>
        </w:rPr>
        <w:t>）对我</w:t>
      </w:r>
      <w:r>
        <w:rPr>
          <w:rFonts w:hint="eastAsia" w:ascii="仿宋" w:hAnsi="仿宋" w:eastAsia="仿宋" w:cs="宋体"/>
          <w:color w:val="38383A"/>
          <w:w w:val="105"/>
          <w:kern w:val="0"/>
          <w:sz w:val="32"/>
          <w:szCs w:val="32"/>
        </w:rPr>
        <w:t>区</w:t>
      </w:r>
      <w:r>
        <w:rPr>
          <w:rFonts w:ascii="仿宋" w:hAnsi="仿宋" w:eastAsia="仿宋" w:cs="宋体"/>
          <w:color w:val="38383A"/>
          <w:w w:val="105"/>
          <w:kern w:val="0"/>
          <w:sz w:val="32"/>
          <w:szCs w:val="32"/>
        </w:rPr>
        <w:t>产业结构调整和转型升级、建链强链补链延链具有重要意义的重大特色项目或对提升我</w:t>
      </w:r>
      <w:r>
        <w:rPr>
          <w:rFonts w:hint="eastAsia" w:ascii="仿宋" w:hAnsi="仿宋" w:eastAsia="仿宋" w:cs="宋体"/>
          <w:color w:val="38383A"/>
          <w:w w:val="105"/>
          <w:kern w:val="0"/>
          <w:sz w:val="32"/>
          <w:szCs w:val="32"/>
        </w:rPr>
        <w:t>区</w:t>
      </w:r>
      <w:r>
        <w:rPr>
          <w:rFonts w:ascii="仿宋" w:hAnsi="仿宋" w:eastAsia="仿宋" w:cs="宋体"/>
          <w:color w:val="38383A"/>
          <w:w w:val="105"/>
          <w:kern w:val="0"/>
          <w:sz w:val="32"/>
          <w:szCs w:val="32"/>
        </w:rPr>
        <w:t>竞争力、影响力、吸引力和开放度作用明显的项目。</w:t>
      </w:r>
    </w:p>
    <w:p w14:paraId="2AA8506E">
      <w:pPr>
        <w:widowControl/>
        <w:ind w:firstLine="672" w:firstLineChars="200"/>
        <w:jc w:val="left"/>
        <w:rPr>
          <w:rFonts w:ascii="仿宋" w:hAnsi="仿宋" w:eastAsia="仿宋" w:cs="宋体"/>
          <w:color w:val="38383A"/>
          <w:w w:val="105"/>
          <w:kern w:val="0"/>
          <w:sz w:val="32"/>
          <w:szCs w:val="32"/>
        </w:rPr>
      </w:pPr>
      <w:r>
        <w:rPr>
          <w:rFonts w:ascii="仿宋" w:hAnsi="仿宋" w:eastAsia="仿宋" w:cs="宋体"/>
          <w:color w:val="38383A"/>
          <w:w w:val="105"/>
          <w:kern w:val="0"/>
          <w:sz w:val="32"/>
          <w:szCs w:val="32"/>
        </w:rPr>
        <w:t>（</w:t>
      </w:r>
      <w:r>
        <w:rPr>
          <w:rFonts w:hint="eastAsia" w:ascii="仿宋" w:hAnsi="仿宋" w:eastAsia="仿宋" w:cs="宋体"/>
          <w:color w:val="38383A"/>
          <w:w w:val="105"/>
          <w:kern w:val="0"/>
          <w:sz w:val="32"/>
          <w:szCs w:val="32"/>
        </w:rPr>
        <w:t>6</w:t>
      </w:r>
      <w:r>
        <w:rPr>
          <w:rFonts w:ascii="仿宋" w:hAnsi="仿宋" w:eastAsia="仿宋" w:cs="宋体"/>
          <w:color w:val="38383A"/>
          <w:w w:val="105"/>
          <w:kern w:val="0"/>
          <w:sz w:val="32"/>
          <w:szCs w:val="32"/>
        </w:rPr>
        <w:t>）拟投资主体同类产业项目上一完整年度的亩均税收或前三年的平均亩均税收已经达到或超过控制指标的1.5倍以上</w:t>
      </w:r>
      <w:r>
        <w:rPr>
          <w:rFonts w:hint="eastAsia" w:ascii="仿宋" w:hAnsi="仿宋" w:eastAsia="仿宋" w:cs="宋体"/>
          <w:color w:val="38383A"/>
          <w:w w:val="105"/>
          <w:kern w:val="0"/>
          <w:sz w:val="32"/>
          <w:szCs w:val="32"/>
        </w:rPr>
        <w:t>。</w:t>
      </w:r>
    </w:p>
    <w:p w14:paraId="504A5720">
      <w:pPr>
        <w:widowControl/>
        <w:ind w:firstLine="672" w:firstLineChars="200"/>
        <w:jc w:val="left"/>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根据《湛江市工业园区产业招商准入标准（试行）》中优先准入条款进行修改。</w:t>
      </w:r>
    </w:p>
    <w:p w14:paraId="348BB6AA">
      <w:pPr>
        <w:pStyle w:val="4"/>
        <w:kinsoku w:val="0"/>
        <w:overflowPunct w:val="0"/>
        <w:spacing w:before="31"/>
        <w:ind w:firstLine="672" w:firstLineChars="200"/>
        <w:rPr>
          <w:rFonts w:ascii="仿宋" w:hAnsi="仿宋" w:eastAsia="仿宋"/>
          <w:color w:val="38383A"/>
          <w:w w:val="105"/>
        </w:rPr>
      </w:pPr>
      <w:r>
        <w:rPr>
          <w:rFonts w:hint="eastAsia" w:ascii="仿宋" w:hAnsi="仿宋" w:eastAsia="仿宋"/>
          <w:color w:val="38383A"/>
          <w:w w:val="105"/>
        </w:rPr>
        <w:t>3、产业项目准入的经济指标条件</w:t>
      </w:r>
    </w:p>
    <w:p w14:paraId="66EDCA47">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考虑到我区大型项目首期投资额未必超总投资额的50%，删除原</w:t>
      </w:r>
      <w:r>
        <w:rPr>
          <w:rFonts w:ascii="仿宋" w:hAnsi="仿宋" w:eastAsia="仿宋" w:cs="宋体"/>
          <w:color w:val="38383A"/>
          <w:w w:val="105"/>
          <w:kern w:val="0"/>
          <w:sz w:val="32"/>
          <w:szCs w:val="32"/>
        </w:rPr>
        <w:t>项目准入</w:t>
      </w:r>
      <w:r>
        <w:rPr>
          <w:rFonts w:hint="eastAsia" w:ascii="仿宋" w:hAnsi="仿宋" w:eastAsia="仿宋" w:cs="宋体"/>
          <w:color w:val="38383A"/>
          <w:w w:val="105"/>
          <w:kern w:val="0"/>
          <w:sz w:val="32"/>
          <w:szCs w:val="32"/>
        </w:rPr>
        <w:t>基本条件-经济指标条件中有关分期建设首期要求占总投资额50%以上的相关表述。</w:t>
      </w:r>
    </w:p>
    <w:p w14:paraId="1A1A1FA0">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根据《湛江市工业园区产业招商准入标准（试行）》中其他产业项目准入要求，其他产业项目由准入的经济指标要求由原“参照钢铁产业强度”，调整为：</w:t>
      </w:r>
    </w:p>
    <w:p w14:paraId="4DBD7AAF">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（1）投资强度：原则上不低于300万元/亩。</w:t>
      </w:r>
    </w:p>
    <w:p w14:paraId="13422EA1">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（2）产出强度：原则上不低于400万元/亩。</w:t>
      </w:r>
    </w:p>
    <w:p w14:paraId="677BA47A">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（3）税收强度：原则上不低于25万元/亩。</w:t>
      </w:r>
    </w:p>
    <w:p w14:paraId="495A0C0E">
      <w:pPr>
        <w:widowControl/>
        <w:ind w:firstLine="672" w:firstLineChars="200"/>
        <w:jc w:val="left"/>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4、“一事一议”适用范围</w:t>
      </w:r>
    </w:p>
    <w:p w14:paraId="3BC69319">
      <w:pPr>
        <w:widowControl/>
        <w:ind w:firstLine="672" w:firstLineChars="200"/>
        <w:jc w:val="left"/>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根据市招商引资考核激励办法加分项要求，“一事一议”由原来高成长性的中小微企业可视具体情况“一事一议”，修改为：</w:t>
      </w:r>
    </w:p>
    <w:p w14:paraId="335230ED">
      <w:pPr>
        <w:widowControl/>
        <w:ind w:firstLine="672" w:firstLineChars="200"/>
        <w:jc w:val="left"/>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世界500强企业、中国500强企业、国内制造业100强企业、产业基础配套类企业以及税收强度大、成长性高的企业可视具体情况“一事一议”。</w:t>
      </w:r>
    </w:p>
    <w:p w14:paraId="32B2CC7A">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5、采纳单位反馈意见，项目准入流程的组织评估环节中，删除区科技部门和卫生部门职责，增加工信部门职责。</w:t>
      </w:r>
    </w:p>
    <w:p w14:paraId="54627009">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6、项目准入流程的审定环节中，由原来报区管委审定范围修改为审定流程。</w:t>
      </w:r>
    </w:p>
    <w:p w14:paraId="30166EF1">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7、增加项目准入后跟踪服务内容</w:t>
      </w:r>
    </w:p>
    <w:p w14:paraId="17AEEA13">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为加强项目服务，切实加快审批效率，在项目准入后跟踪服务环节，增加全程代办、关联审批相关内容，增加9项具体审批事项的办结期限。</w:t>
      </w:r>
    </w:p>
    <w:p w14:paraId="3ADDA51C">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8、增加加强跟踪督导内容</w:t>
      </w:r>
    </w:p>
    <w:p w14:paraId="3D536D1F">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将项目推进全过程纳入区督办系统管理。见第四条项目准入后跟踪服务第（五）点</w:t>
      </w:r>
      <w:r>
        <w:rPr>
          <w:rFonts w:ascii="仿宋" w:hAnsi="仿宋" w:eastAsia="仿宋" w:cs="宋体"/>
          <w:color w:val="38383A"/>
          <w:w w:val="105"/>
          <w:kern w:val="0"/>
          <w:sz w:val="32"/>
          <w:szCs w:val="32"/>
        </w:rPr>
        <w:t>加强跟踪督导</w:t>
      </w:r>
      <w:r>
        <w:rPr>
          <w:rFonts w:hint="eastAsia" w:ascii="仿宋" w:hAnsi="仿宋" w:eastAsia="仿宋" w:cs="宋体"/>
          <w:color w:val="38383A"/>
          <w:w w:val="105"/>
          <w:kern w:val="0"/>
          <w:sz w:val="32"/>
          <w:szCs w:val="32"/>
        </w:rPr>
        <w:t>。</w:t>
      </w:r>
    </w:p>
    <w:p w14:paraId="4DB08EBC">
      <w:pPr>
        <w:spacing w:line="540" w:lineRule="exact"/>
        <w:ind w:firstLine="672" w:firstLineChars="200"/>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9、采纳单位反馈意见，修改监管协议签订时间，由原来“项目方在依法取得建设用地使用权、签订《国有建设用地使用权出让合同》</w:t>
      </w:r>
      <w:r>
        <w:rPr>
          <w:rFonts w:hint="eastAsia" w:ascii="仿宋" w:hAnsi="仿宋" w:eastAsia="仿宋" w:cs="宋体"/>
          <w:b/>
          <w:w w:val="105"/>
          <w:kern w:val="0"/>
          <w:sz w:val="32"/>
          <w:szCs w:val="32"/>
        </w:rPr>
        <w:t>时需</w:t>
      </w:r>
      <w:r>
        <w:rPr>
          <w:rFonts w:hint="eastAsia" w:ascii="仿宋" w:hAnsi="仿宋" w:eastAsia="仿宋" w:cs="宋体"/>
          <w:color w:val="38383A"/>
          <w:w w:val="105"/>
          <w:kern w:val="0"/>
          <w:sz w:val="32"/>
          <w:szCs w:val="32"/>
        </w:rPr>
        <w:t>与区工信部门签订《湛江经开区产业建设项目履约监管协议书》，作为《国有建设用地使用权出让合同》的附件。”修改为“项目方在依法取得建设用地使用权、签订《国有建设用地使用权出让合同》</w:t>
      </w:r>
      <w:r>
        <w:rPr>
          <w:rFonts w:hint="eastAsia" w:ascii="仿宋" w:hAnsi="仿宋" w:eastAsia="仿宋" w:cs="宋体"/>
          <w:b/>
          <w:color w:val="38383A"/>
          <w:w w:val="105"/>
          <w:kern w:val="0"/>
          <w:sz w:val="32"/>
          <w:szCs w:val="32"/>
        </w:rPr>
        <w:t>前必须</w:t>
      </w:r>
      <w:r>
        <w:rPr>
          <w:rFonts w:hint="eastAsia" w:ascii="仿宋" w:hAnsi="仿宋" w:eastAsia="仿宋" w:cs="宋体"/>
          <w:color w:val="38383A"/>
          <w:w w:val="105"/>
          <w:kern w:val="0"/>
          <w:sz w:val="32"/>
          <w:szCs w:val="32"/>
        </w:rPr>
        <w:t>与区工信部门签订《湛江经开区产业建设项目履约监管协议书》，作为《国有建设用地使用权出让合同》的附件。”</w:t>
      </w:r>
    </w:p>
    <w:p w14:paraId="158BCA59">
      <w:pPr>
        <w:spacing w:line="540" w:lineRule="exact"/>
        <w:ind w:firstLine="658" w:firstLineChars="196"/>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10、项目土地利用绩效考核机制。</w:t>
      </w:r>
    </w:p>
    <w:p w14:paraId="78274C06">
      <w:pPr>
        <w:pStyle w:val="18"/>
        <w:ind w:left="210" w:firstLine="672" w:firstLineChars="200"/>
        <w:rPr>
          <w:rFonts w:ascii="仿宋" w:hAnsi="仿宋" w:eastAsia="仿宋" w:cs="宋体"/>
          <w:color w:val="38383A"/>
          <w:w w:val="105"/>
          <w:sz w:val="32"/>
          <w:szCs w:val="32"/>
        </w:rPr>
      </w:pPr>
      <w:r>
        <w:rPr>
          <w:rFonts w:hint="eastAsia" w:ascii="仿宋" w:hAnsi="仿宋" w:eastAsia="仿宋" w:cs="宋体"/>
          <w:color w:val="38383A"/>
          <w:w w:val="105"/>
          <w:sz w:val="32"/>
          <w:szCs w:val="32"/>
        </w:rPr>
        <w:t>根据《湛江市人民政府办公室关于印发湛江市招商引资工作精细化管理实施方案的通知》以及单位反馈意见，删除原文中关于土地闲置以及违约等与监管协议重复内容，增加监管协议内容指标：原则上项目监管协议要明确项目投资强度、产出强度、税收强度、能耗要求、环保要求、开工时限、投产时限等指标内容。指标内容原则上与经区党委会（或主任办公会）审议通过的国有建设用地使用权出让方案上的指标一致。国有建设用地使用权出让方案未明确的指标内容，由区工信部门与项目方协商确定。</w:t>
      </w:r>
    </w:p>
    <w:p w14:paraId="70279DC3">
      <w:pPr>
        <w:pStyle w:val="3"/>
        <w:ind w:left="210" w:firstLine="658" w:firstLineChars="196"/>
        <w:rPr>
          <w:rFonts w:ascii="仿宋" w:hAnsi="仿宋" w:eastAsia="仿宋" w:cs="宋体"/>
          <w:color w:val="38383A"/>
          <w:w w:val="105"/>
          <w:kern w:val="0"/>
          <w:sz w:val="32"/>
          <w:szCs w:val="32"/>
        </w:rPr>
      </w:pPr>
      <w:r>
        <w:rPr>
          <w:rFonts w:hint="eastAsia" w:ascii="仿宋" w:hAnsi="仿宋" w:eastAsia="仿宋" w:cs="宋体"/>
          <w:color w:val="38383A"/>
          <w:w w:val="105"/>
          <w:kern w:val="0"/>
          <w:sz w:val="32"/>
          <w:szCs w:val="32"/>
        </w:rPr>
        <w:t>执行单位增加住建、生态环保两个单位。</w:t>
      </w:r>
    </w:p>
    <w:p w14:paraId="5140E527">
      <w:pPr>
        <w:spacing w:line="540" w:lineRule="exact"/>
        <w:ind w:firstLine="672" w:firstLineChars="200"/>
        <w:rPr>
          <w:rFonts w:ascii="仿宋" w:hAnsi="仿宋" w:eastAsia="仿宋"/>
          <w:sz w:val="32"/>
          <w:szCs w:val="32"/>
        </w:rPr>
      </w:pPr>
      <w:r>
        <w:rPr>
          <w:rFonts w:hint="eastAsia" w:ascii="仿宋" w:hAnsi="仿宋" w:eastAsia="仿宋" w:cs="宋体"/>
          <w:color w:val="38383A"/>
          <w:w w:val="105"/>
          <w:kern w:val="0"/>
          <w:sz w:val="32"/>
          <w:szCs w:val="32"/>
        </w:rPr>
        <w:t>11、采纳单位反馈意见，增加项目准入后更改建设内容和规模相关内容。第六条其他第（一）点。</w:t>
      </w:r>
    </w:p>
    <w:p w14:paraId="01B89255">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4314986"/>
      <w:docPartObj>
        <w:docPartGallery w:val="AutoText"/>
      </w:docPartObj>
    </w:sdtPr>
    <w:sdtContent>
      <w:p w14:paraId="6F51953F">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14:paraId="612603A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7E54"/>
    <w:rsid w:val="00050C55"/>
    <w:rsid w:val="0016395A"/>
    <w:rsid w:val="001C121D"/>
    <w:rsid w:val="00237F1A"/>
    <w:rsid w:val="00273643"/>
    <w:rsid w:val="002B3501"/>
    <w:rsid w:val="002E00E9"/>
    <w:rsid w:val="003044EB"/>
    <w:rsid w:val="0041109A"/>
    <w:rsid w:val="00480CEF"/>
    <w:rsid w:val="004A0415"/>
    <w:rsid w:val="004A222E"/>
    <w:rsid w:val="004B4BA1"/>
    <w:rsid w:val="004F58D4"/>
    <w:rsid w:val="00545351"/>
    <w:rsid w:val="005517CE"/>
    <w:rsid w:val="0055632B"/>
    <w:rsid w:val="0058312F"/>
    <w:rsid w:val="005A3C3A"/>
    <w:rsid w:val="006728E3"/>
    <w:rsid w:val="00683AE8"/>
    <w:rsid w:val="007D72B4"/>
    <w:rsid w:val="0080619E"/>
    <w:rsid w:val="0084074F"/>
    <w:rsid w:val="008E4C7A"/>
    <w:rsid w:val="008F4FA6"/>
    <w:rsid w:val="00A349D8"/>
    <w:rsid w:val="00A73F5B"/>
    <w:rsid w:val="00A77859"/>
    <w:rsid w:val="00A8059D"/>
    <w:rsid w:val="00A8555F"/>
    <w:rsid w:val="00A97BEA"/>
    <w:rsid w:val="00AC2DB8"/>
    <w:rsid w:val="00AE4963"/>
    <w:rsid w:val="00AF7E54"/>
    <w:rsid w:val="00B17538"/>
    <w:rsid w:val="00B22BA3"/>
    <w:rsid w:val="00B26605"/>
    <w:rsid w:val="00B65545"/>
    <w:rsid w:val="00C16F6F"/>
    <w:rsid w:val="00C652D2"/>
    <w:rsid w:val="00C72820"/>
    <w:rsid w:val="00CE71C2"/>
    <w:rsid w:val="00D271E4"/>
    <w:rsid w:val="00D81AED"/>
    <w:rsid w:val="00DB5ECF"/>
    <w:rsid w:val="00E33CA8"/>
    <w:rsid w:val="00E51B4E"/>
    <w:rsid w:val="00E73D23"/>
    <w:rsid w:val="00EA041F"/>
    <w:rsid w:val="00EC3E27"/>
    <w:rsid w:val="00EE0BA9"/>
    <w:rsid w:val="00EE717D"/>
    <w:rsid w:val="00F04E80"/>
    <w:rsid w:val="7A44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locked/>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iPriority w:val="0"/>
    <w:pPr>
      <w:jc w:val="left"/>
    </w:pPr>
    <w:rPr>
      <w:rFonts w:ascii="Times New Roman" w:hAnsi="Times New Roman" w:eastAsia="仿宋_GB2312"/>
      <w:sz w:val="30"/>
      <w:szCs w:val="24"/>
    </w:rPr>
  </w:style>
  <w:style w:type="paragraph" w:styleId="4">
    <w:name w:val="Body Text"/>
    <w:basedOn w:val="1"/>
    <w:link w:val="12"/>
    <w:qFormat/>
    <w:uiPriority w:val="1"/>
    <w:pPr>
      <w:autoSpaceDE w:val="0"/>
      <w:autoSpaceDN w:val="0"/>
      <w:adjustRightInd w:val="0"/>
      <w:jc w:val="left"/>
    </w:pPr>
    <w:rPr>
      <w:rFonts w:ascii="宋体" w:hAnsi="Times New Roman" w:cs="宋体"/>
      <w:kern w:val="0"/>
      <w:sz w:val="32"/>
      <w:szCs w:val="32"/>
    </w:rPr>
  </w:style>
  <w:style w:type="paragraph" w:styleId="5">
    <w:name w:val="Balloon Text"/>
    <w:basedOn w:val="1"/>
    <w:link w:val="17"/>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iPriority w:val="0"/>
    <w:rPr>
      <w:sz w:val="21"/>
      <w:szCs w:val="21"/>
    </w:rPr>
  </w:style>
  <w:style w:type="paragraph" w:customStyle="1" w:styleId="11">
    <w:name w:val="校对"/>
    <w:basedOn w:val="1"/>
    <w:qFormat/>
    <w:uiPriority w:val="0"/>
    <w:pPr>
      <w:widowControl/>
      <w:spacing w:line="560" w:lineRule="exact"/>
      <w:ind w:left="100" w:leftChars="100"/>
      <w:contextualSpacing/>
      <w:jc w:val="left"/>
    </w:pPr>
    <w:rPr>
      <w:rFonts w:ascii="仿宋" w:hAnsi="仿宋" w:eastAsia="仿宋_GB2312"/>
      <w:sz w:val="28"/>
      <w:szCs w:val="24"/>
    </w:rPr>
  </w:style>
  <w:style w:type="character" w:customStyle="1" w:styleId="12">
    <w:name w:val="正文文本 Char"/>
    <w:basedOn w:val="9"/>
    <w:link w:val="4"/>
    <w:qFormat/>
    <w:uiPriority w:val="1"/>
    <w:rPr>
      <w:rFonts w:ascii="宋体" w:hAnsi="Times New Roman" w:cs="宋体"/>
      <w:sz w:val="32"/>
      <w:szCs w:val="32"/>
    </w:rPr>
  </w:style>
  <w:style w:type="character" w:customStyle="1" w:styleId="13">
    <w:name w:val="标题 1 Char"/>
    <w:basedOn w:val="9"/>
    <w:link w:val="2"/>
    <w:uiPriority w:val="0"/>
    <w:rPr>
      <w:b/>
      <w:bCs/>
      <w:kern w:val="44"/>
      <w:sz w:val="44"/>
      <w:szCs w:val="44"/>
    </w:rPr>
  </w:style>
  <w:style w:type="character" w:customStyle="1" w:styleId="14">
    <w:name w:val="页眉 Char"/>
    <w:basedOn w:val="9"/>
    <w:link w:val="7"/>
    <w:semiHidden/>
    <w:uiPriority w:val="99"/>
    <w:rPr>
      <w:kern w:val="2"/>
      <w:sz w:val="18"/>
      <w:szCs w:val="18"/>
    </w:rPr>
  </w:style>
  <w:style w:type="character" w:customStyle="1" w:styleId="15">
    <w:name w:val="页脚 Char"/>
    <w:basedOn w:val="9"/>
    <w:link w:val="6"/>
    <w:uiPriority w:val="99"/>
    <w:rPr>
      <w:kern w:val="2"/>
      <w:sz w:val="18"/>
      <w:szCs w:val="18"/>
    </w:rPr>
  </w:style>
  <w:style w:type="character" w:customStyle="1" w:styleId="16">
    <w:name w:val="批注文字 Char"/>
    <w:basedOn w:val="9"/>
    <w:link w:val="3"/>
    <w:uiPriority w:val="0"/>
    <w:rPr>
      <w:rFonts w:ascii="Times New Roman" w:hAnsi="Times New Roman" w:eastAsia="仿宋_GB2312"/>
      <w:kern w:val="2"/>
      <w:sz w:val="30"/>
      <w:szCs w:val="24"/>
    </w:rPr>
  </w:style>
  <w:style w:type="character" w:customStyle="1" w:styleId="17">
    <w:name w:val="批注框文本 Char"/>
    <w:basedOn w:val="9"/>
    <w:link w:val="5"/>
    <w:semiHidden/>
    <w:uiPriority w:val="99"/>
    <w:rPr>
      <w:kern w:val="2"/>
      <w:sz w:val="18"/>
      <w:szCs w:val="18"/>
    </w:rPr>
  </w:style>
  <w:style w:type="paragraph" w:customStyle="1" w:styleId="18">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WWW.RePaiK.Com</Company>
  <Pages>6</Pages>
  <Words>2501</Words>
  <Characters>2569</Characters>
  <Lines>18</Lines>
  <Paragraphs>5</Paragraphs>
  <TotalTime>420</TotalTime>
  <ScaleCrop>false</ScaleCrop>
  <LinksUpToDate>false</LinksUpToDate>
  <CharactersWithSpaces>2570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2024-01-18T07:24:00Z</dcterms:created>
  <dc:creator>陈粤峰</dc:creator>
  <cp:lastModifiedBy>Take that.</cp:lastModifiedBy>
  <cp:lastPrinted>2024-01-30T02:28:00Z</cp:lastPrinted>
  <dcterms:modified xsi:type="dcterms:W3CDTF">2025-11-25T07:46:50Z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eyJoZGlkIjoiZTIxNzY4MjM1MGM5ZjdkMWVjM2Y1OWY4YzkzNDUwZDYiLCJ1c2VySWQiOiI0NTIwMDE2MzEifQ==</vt:lpwstr>
  </property>
  <property fmtid="{D5CDD505-2E9C-101B-9397-08002B2CF9AE}" pid="3" name="KSOProductBuildVer">
    <vt:lpwstr>2052-12.1.0.23542</vt:lpwstr>
  </property>
  <property fmtid="{D5CDD505-2E9C-101B-9397-08002B2CF9AE}" pid="4" name="ICV">
    <vt:lpwstr>D816DF8DB4D241E6B61D7071C74FF7DC_12</vt:lpwstr>
  </property>
</Properties>
</file>