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1733"/>
        <w:gridCol w:w="1845"/>
        <w:gridCol w:w="1932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173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184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93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</w:t>
            </w:r>
            <w:r>
              <w:rPr>
                <w:rFonts w:hint="eastAsia"/>
                <w:sz w:val="24"/>
                <w:lang w:eastAsia="zh-CN"/>
              </w:rPr>
              <w:t>药</w:t>
            </w:r>
            <w:r>
              <w:rPr>
                <w:rFonts w:hint="eastAsia"/>
                <w:sz w:val="24"/>
              </w:rPr>
              <w:t>罚〔201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〕0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湛江开发区咏春堂大药房销售假药案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邹永杰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440807600027264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邹永杰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经查，</w:t>
            </w:r>
            <w:r>
              <w:rPr>
                <w:rFonts w:hint="eastAsia"/>
                <w:sz w:val="24"/>
                <w:lang w:val="en-US" w:eastAsia="zh-CN"/>
              </w:rPr>
              <w:t>湛江开发区咏春堂大药房经营中药饮片“苍术”经抽样检验后不合格</w:t>
            </w:r>
          </w:p>
        </w:tc>
        <w:tc>
          <w:tcPr>
            <w:tcW w:w="184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依据《中华人民共和国药品管理法》第七十三条的规定进行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处罚。</w:t>
            </w:r>
          </w:p>
        </w:tc>
        <w:tc>
          <w:tcPr>
            <w:tcW w:w="193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限当事人自收到本决定书之日起十五日内携带《罚款通知书》到相关银行（详见罚款通知书）缴纳罚款。到期不缴纳罚款的，本局可以每日按罚款数额的3%加处罚款。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湛江经济技术开发区食品药品监督管理局201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03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561002C"/>
    <w:rsid w:val="0CC14613"/>
    <w:rsid w:val="150B0684"/>
    <w:rsid w:val="1E2802E0"/>
    <w:rsid w:val="217F2D99"/>
    <w:rsid w:val="22E152C9"/>
    <w:rsid w:val="26847B6C"/>
    <w:rsid w:val="3F3B7932"/>
    <w:rsid w:val="3F830363"/>
    <w:rsid w:val="406E0FA8"/>
    <w:rsid w:val="418B6FEA"/>
    <w:rsid w:val="461C2348"/>
    <w:rsid w:val="4C670469"/>
    <w:rsid w:val="512E0E90"/>
    <w:rsid w:val="5C6B03C9"/>
    <w:rsid w:val="5D162FBF"/>
    <w:rsid w:val="5D925EBA"/>
    <w:rsid w:val="611155D5"/>
    <w:rsid w:val="641E1632"/>
    <w:rsid w:val="6FA62B9A"/>
    <w:rsid w:val="790C33A8"/>
    <w:rsid w:val="7AB10F2E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1</TotalTime>
  <ScaleCrop>false</ScaleCrop>
  <LinksUpToDate>false</LinksUpToDate>
  <CharactersWithSpaces>323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2019-06-27T08:33:00Z</cp:lastPrinted>
  <dcterms:modified xsi:type="dcterms:W3CDTF">2019-06-28T02:48:07Z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