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1673"/>
        <w:gridCol w:w="2145"/>
        <w:gridCol w:w="1692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1673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14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692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</w:t>
            </w:r>
            <w:r>
              <w:rPr>
                <w:rFonts w:hint="eastAsia"/>
                <w:sz w:val="24"/>
                <w:lang w:eastAsia="zh-CN"/>
              </w:rPr>
              <w:t>药</w:t>
            </w:r>
            <w:r>
              <w:rPr>
                <w:rFonts w:hint="eastAsia"/>
                <w:sz w:val="24"/>
              </w:rPr>
              <w:t>罚〔201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〕0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湛江开发区健民诊所销售劣药案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92440800MA51401Q80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吴艳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经查，</w:t>
            </w:r>
            <w:r>
              <w:rPr>
                <w:rFonts w:hint="eastAsia"/>
                <w:sz w:val="24"/>
                <w:lang w:val="en-US" w:eastAsia="zh-CN"/>
              </w:rPr>
              <w:t>湛江开发区健民诊所经营药品“通宣理肺颗粒”经抽样检验后不合格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依据《中华人民共和国药品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管理法》第七十四条的规定　进行处罚。</w:t>
            </w:r>
          </w:p>
        </w:tc>
        <w:tc>
          <w:tcPr>
            <w:tcW w:w="169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湛江经济技术开发区食品药品监督管理局201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561002C"/>
    <w:rsid w:val="0CC14613"/>
    <w:rsid w:val="0F8D6D83"/>
    <w:rsid w:val="150B0684"/>
    <w:rsid w:val="217F2D99"/>
    <w:rsid w:val="22E152C9"/>
    <w:rsid w:val="26847B6C"/>
    <w:rsid w:val="3296469C"/>
    <w:rsid w:val="335C556D"/>
    <w:rsid w:val="3F0D3D2D"/>
    <w:rsid w:val="3F3B7932"/>
    <w:rsid w:val="3F830363"/>
    <w:rsid w:val="406E0FA8"/>
    <w:rsid w:val="418B6FEA"/>
    <w:rsid w:val="461C2348"/>
    <w:rsid w:val="4C670469"/>
    <w:rsid w:val="512E0E90"/>
    <w:rsid w:val="5C6B03C9"/>
    <w:rsid w:val="5D162FBF"/>
    <w:rsid w:val="5D925EBA"/>
    <w:rsid w:val="611155D5"/>
    <w:rsid w:val="641E1632"/>
    <w:rsid w:val="790C33A8"/>
    <w:rsid w:val="7AB10F2E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0</TotalTime>
  <ScaleCrop>false</ScaleCrop>
  <LinksUpToDate>false</LinksUpToDate>
  <CharactersWithSpaces>323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2019-06-27T08:32:00Z</cp:lastPrinted>
  <dcterms:modified xsi:type="dcterms:W3CDTF">2019-06-28T02:48:40Z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