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F11F79">
      <w:pPr>
        <w:autoSpaceDE/>
        <w:autoSpaceDN/>
        <w:spacing w:line="600" w:lineRule="exact"/>
        <w:jc w:val="center"/>
        <w:rPr>
          <w:rFonts w:hint="eastAsia" w:ascii="Times New Roman" w:hAnsi="宋体" w:eastAsia="宋体" w:cs="Times New Roman"/>
          <w:b/>
          <w:kern w:val="2"/>
          <w:sz w:val="44"/>
          <w:szCs w:val="44"/>
          <w:lang w:eastAsia="zh-CN"/>
        </w:rPr>
      </w:pPr>
      <w:r>
        <w:rPr>
          <w:rFonts w:hint="eastAsia" w:ascii="Times New Roman" w:hAnsi="宋体" w:eastAsia="宋体" w:cs="Times New Roman"/>
          <w:b/>
          <w:kern w:val="2"/>
          <w:sz w:val="44"/>
          <w:szCs w:val="44"/>
          <w:lang w:eastAsia="zh-CN"/>
        </w:rPr>
        <w:t>湛江经开区校服产品质量监督抽查实施细则</w:t>
      </w:r>
    </w:p>
    <w:p w14:paraId="26CD429A">
      <w:pPr>
        <w:pStyle w:val="6"/>
        <w:jc w:val="center"/>
        <w:rPr>
          <w:rFonts w:ascii="Times New Roman" w:hAnsi="Times New Roman" w:eastAsia="楷体_GB2312" w:cs="Times New Roman"/>
          <w:kern w:val="2"/>
          <w:sz w:val="32"/>
          <w:szCs w:val="32"/>
          <w:lang w:eastAsia="zh-CN"/>
        </w:rPr>
      </w:pPr>
      <w:r>
        <w:rPr>
          <w:rFonts w:hint="eastAsia" w:ascii="Times New Roman" w:hAnsi="Times New Roman" w:eastAsia="楷体_GB2312" w:cs="Times New Roman"/>
          <w:kern w:val="2"/>
          <w:sz w:val="32"/>
          <w:szCs w:val="32"/>
          <w:lang w:eastAsia="zh-CN"/>
        </w:rPr>
        <w:t>（2026年版）</w:t>
      </w:r>
    </w:p>
    <w:p w14:paraId="62F312FF">
      <w:pPr>
        <w:autoSpaceDE/>
        <w:autoSpaceDN/>
        <w:spacing w:line="580" w:lineRule="exact"/>
        <w:ind w:firstLine="640" w:firstLineChars="200"/>
        <w:jc w:val="both"/>
        <w:rPr>
          <w:rFonts w:ascii="Times New Roman" w:hAnsi="Times New Roman" w:eastAsia="黑体" w:cs="黑体"/>
          <w:kern w:val="2"/>
          <w:sz w:val="32"/>
          <w:szCs w:val="40"/>
          <w:lang w:eastAsia="zh-CN"/>
        </w:rPr>
      </w:pPr>
    </w:p>
    <w:p w14:paraId="2B5BC572">
      <w:pPr>
        <w:autoSpaceDE/>
        <w:autoSpaceDN/>
        <w:spacing w:line="580" w:lineRule="exact"/>
        <w:ind w:firstLine="640" w:firstLineChars="200"/>
        <w:jc w:val="both"/>
        <w:rPr>
          <w:rFonts w:ascii="Times New Roman" w:hAnsi="Times New Roman" w:eastAsia="黑体" w:cs="黑体"/>
          <w:kern w:val="2"/>
          <w:sz w:val="32"/>
          <w:szCs w:val="40"/>
          <w:lang w:eastAsia="zh-CN"/>
        </w:rPr>
      </w:pPr>
      <w:r>
        <w:rPr>
          <w:rFonts w:hint="eastAsia" w:ascii="Times New Roman" w:hAnsi="Times New Roman" w:eastAsia="黑体" w:cs="黑体"/>
          <w:kern w:val="2"/>
          <w:sz w:val="32"/>
          <w:szCs w:val="40"/>
          <w:lang w:eastAsia="zh-CN"/>
        </w:rPr>
        <w:t>1  抽样方法</w:t>
      </w:r>
    </w:p>
    <w:p w14:paraId="7CBE1D7A">
      <w:pPr>
        <w:autoSpaceDE/>
        <w:autoSpaceDN/>
        <w:spacing w:line="580" w:lineRule="exact"/>
        <w:ind w:firstLine="640" w:firstLineChars="200"/>
        <w:jc w:val="both"/>
        <w:rPr>
          <w:rFonts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eastAsia="zh-CN"/>
        </w:rPr>
        <w:t>抽查对象主要为湛江经开区内企业生产、销售的产品，其样品既可在本辖区生产者处，也可在线下销售者处抽取，优先抽取生产者。以随机抽样的方式在生产流通领域中抽取，抽取校服款式需优先抽取被教育部门确定为当年“一县（区）一款”的统一款式。</w:t>
      </w:r>
    </w:p>
    <w:p w14:paraId="7AB27F6D">
      <w:pPr>
        <w:autoSpaceDE/>
        <w:autoSpaceDN/>
        <w:spacing w:line="580" w:lineRule="exact"/>
        <w:ind w:firstLine="640" w:firstLineChars="200"/>
        <w:jc w:val="both"/>
        <w:rPr>
          <w:rFonts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eastAsia="zh-CN"/>
        </w:rPr>
        <w:t>随机数一般可使用随机数表等方法产生。</w:t>
      </w:r>
    </w:p>
    <w:p w14:paraId="2D23B030">
      <w:pPr>
        <w:autoSpaceDE/>
        <w:autoSpaceDN/>
        <w:spacing w:line="580" w:lineRule="exact"/>
        <w:ind w:firstLine="640" w:firstLineChars="200"/>
        <w:jc w:val="both"/>
        <w:rPr>
          <w:rFonts w:ascii="Times New Roman" w:hAnsi="Times New Roman" w:eastAsia="仿宋_GB2312" w:cs="Times New Roman"/>
          <w:kern w:val="44"/>
          <w:sz w:val="28"/>
          <w:szCs w:val="28"/>
          <w:lang w:eastAsia="zh-CN" w:bidi="ar"/>
        </w:rPr>
      </w:pPr>
      <w:r>
        <w:rPr>
          <w:rFonts w:hint="eastAsia" w:ascii="Times New Roman" w:hAnsi="Times New Roman" w:eastAsia="仿宋_GB2312" w:cs="Times New Roman"/>
          <w:kern w:val="2"/>
          <w:sz w:val="32"/>
          <w:szCs w:val="32"/>
          <w:lang w:eastAsia="zh-CN"/>
        </w:rPr>
        <w:t>每批次产品抽取样品2件/条/套，其中1件/条/套作为检验样品，1件/条/套作为备用样品。</w:t>
      </w:r>
    </w:p>
    <w:p w14:paraId="53ED1E30">
      <w:pPr>
        <w:pStyle w:val="14"/>
        <w:tabs>
          <w:tab w:val="left" w:pos="470"/>
        </w:tabs>
        <w:spacing w:before="60" w:line="360" w:lineRule="auto"/>
        <w:ind w:left="562" w:firstLine="0"/>
        <w:rPr>
          <w:rFonts w:ascii="Times New Roman" w:hAnsi="Times New Roman" w:eastAsia="黑体" w:cs="黑体"/>
          <w:kern w:val="2"/>
          <w:sz w:val="32"/>
          <w:szCs w:val="40"/>
          <w:lang w:eastAsia="zh-CN"/>
        </w:rPr>
      </w:pPr>
      <w:r>
        <w:rPr>
          <w:rFonts w:hint="eastAsia" w:ascii="Times New Roman" w:hAnsi="Times New Roman" w:eastAsia="黑体" w:cs="黑体"/>
          <w:kern w:val="2"/>
          <w:sz w:val="32"/>
          <w:szCs w:val="40"/>
          <w:lang w:eastAsia="zh-CN"/>
        </w:rPr>
        <w:t>2   检验依据</w:t>
      </w:r>
    </w:p>
    <w:tbl>
      <w:tblPr>
        <w:tblStyle w:val="9"/>
        <w:tblW w:w="495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7"/>
        <w:gridCol w:w="708"/>
        <w:gridCol w:w="3101"/>
        <w:gridCol w:w="4745"/>
      </w:tblGrid>
      <w:tr w14:paraId="2C519E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7EB744DF">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序号</w:t>
            </w:r>
          </w:p>
        </w:tc>
        <w:tc>
          <w:tcPr>
            <w:tcW w:w="3809" w:type="dxa"/>
            <w:gridSpan w:val="2"/>
            <w:tcBorders>
              <w:top w:val="single" w:color="auto" w:sz="4" w:space="0"/>
              <w:left w:val="single" w:color="auto" w:sz="4" w:space="0"/>
              <w:bottom w:val="single" w:color="auto" w:sz="4" w:space="0"/>
              <w:right w:val="single" w:color="auto" w:sz="4" w:space="0"/>
            </w:tcBorders>
            <w:vAlign w:val="center"/>
          </w:tcPr>
          <w:p w14:paraId="57DA2056">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检测项目</w:t>
            </w:r>
          </w:p>
        </w:tc>
        <w:tc>
          <w:tcPr>
            <w:tcW w:w="4745" w:type="dxa"/>
            <w:tcBorders>
              <w:top w:val="single" w:color="auto" w:sz="4" w:space="0"/>
              <w:left w:val="single" w:color="auto" w:sz="4" w:space="0"/>
              <w:bottom w:val="single" w:color="auto" w:sz="4" w:space="0"/>
              <w:right w:val="single" w:color="auto" w:sz="4" w:space="0"/>
            </w:tcBorders>
            <w:vAlign w:val="center"/>
          </w:tcPr>
          <w:p w14:paraId="661770DC">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检测标准</w:t>
            </w:r>
          </w:p>
        </w:tc>
      </w:tr>
      <w:tr w14:paraId="324163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7" w:type="dxa"/>
            <w:tcBorders>
              <w:top w:val="nil"/>
              <w:left w:val="single" w:color="auto" w:sz="4" w:space="0"/>
              <w:bottom w:val="single" w:color="auto" w:sz="4" w:space="0"/>
              <w:right w:val="single" w:color="auto" w:sz="4" w:space="0"/>
            </w:tcBorders>
            <w:vAlign w:val="center"/>
          </w:tcPr>
          <w:p w14:paraId="436400C7">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1</w:t>
            </w:r>
          </w:p>
        </w:tc>
        <w:tc>
          <w:tcPr>
            <w:tcW w:w="3809" w:type="dxa"/>
            <w:gridSpan w:val="2"/>
            <w:tcBorders>
              <w:top w:val="nil"/>
              <w:left w:val="single" w:color="auto" w:sz="4" w:space="0"/>
              <w:bottom w:val="single" w:color="auto" w:sz="4" w:space="0"/>
              <w:right w:val="single" w:color="auto" w:sz="4" w:space="0"/>
            </w:tcBorders>
            <w:vAlign w:val="center"/>
          </w:tcPr>
          <w:p w14:paraId="6E7EBC3D">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甲醛含量</w:t>
            </w:r>
          </w:p>
        </w:tc>
        <w:tc>
          <w:tcPr>
            <w:tcW w:w="4745" w:type="dxa"/>
            <w:tcBorders>
              <w:top w:val="single" w:color="auto" w:sz="4" w:space="0"/>
              <w:left w:val="single" w:color="auto" w:sz="4" w:space="0"/>
              <w:bottom w:val="single" w:color="auto" w:sz="4" w:space="0"/>
              <w:right w:val="single" w:color="auto" w:sz="4" w:space="0"/>
            </w:tcBorders>
            <w:vAlign w:val="center"/>
          </w:tcPr>
          <w:p w14:paraId="50DFBC23">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GB/T 2912.1-2009</w:t>
            </w:r>
          </w:p>
        </w:tc>
      </w:tr>
      <w:tr w14:paraId="33DD74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7" w:type="dxa"/>
            <w:tcBorders>
              <w:top w:val="nil"/>
              <w:left w:val="single" w:color="auto" w:sz="4" w:space="0"/>
              <w:bottom w:val="single" w:color="auto" w:sz="4" w:space="0"/>
              <w:right w:val="single" w:color="auto" w:sz="4" w:space="0"/>
            </w:tcBorders>
            <w:vAlign w:val="center"/>
          </w:tcPr>
          <w:p w14:paraId="119BCEAF">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2</w:t>
            </w:r>
          </w:p>
        </w:tc>
        <w:tc>
          <w:tcPr>
            <w:tcW w:w="3809" w:type="dxa"/>
            <w:gridSpan w:val="2"/>
            <w:tcBorders>
              <w:top w:val="nil"/>
              <w:left w:val="single" w:color="auto" w:sz="4" w:space="0"/>
              <w:bottom w:val="single" w:color="auto" w:sz="4" w:space="0"/>
              <w:right w:val="single" w:color="auto" w:sz="4" w:space="0"/>
            </w:tcBorders>
            <w:vAlign w:val="center"/>
          </w:tcPr>
          <w:p w14:paraId="2154C992">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pH值</w:t>
            </w:r>
          </w:p>
        </w:tc>
        <w:tc>
          <w:tcPr>
            <w:tcW w:w="4745" w:type="dxa"/>
            <w:tcBorders>
              <w:top w:val="single" w:color="auto" w:sz="4" w:space="0"/>
              <w:left w:val="single" w:color="auto" w:sz="4" w:space="0"/>
              <w:bottom w:val="single" w:color="auto" w:sz="4" w:space="0"/>
              <w:right w:val="single" w:color="auto" w:sz="4" w:space="0"/>
            </w:tcBorders>
            <w:vAlign w:val="center"/>
          </w:tcPr>
          <w:p w14:paraId="57034791">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GB/T 7573-2009</w:t>
            </w:r>
          </w:p>
        </w:tc>
      </w:tr>
      <w:tr w14:paraId="6AB7E1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7" w:type="dxa"/>
            <w:vMerge w:val="restart"/>
            <w:tcBorders>
              <w:top w:val="single" w:color="auto" w:sz="4" w:space="0"/>
              <w:left w:val="single" w:color="auto" w:sz="4" w:space="0"/>
              <w:right w:val="single" w:color="auto" w:sz="4" w:space="0"/>
            </w:tcBorders>
            <w:vAlign w:val="center"/>
          </w:tcPr>
          <w:p w14:paraId="51CAF86A">
            <w:pPr>
              <w:autoSpaceDE/>
              <w:autoSpaceDN/>
              <w:jc w:val="center"/>
              <w:rPr>
                <w:rFonts w:ascii="Times New Roman" w:hAnsi="Times New Roman" w:eastAsia="仿宋_GB2312" w:cs="Times New Roman"/>
                <w:kern w:val="44"/>
                <w:sz w:val="28"/>
                <w:szCs w:val="28"/>
                <w:lang w:eastAsia="zh-CN" w:bidi="ar"/>
              </w:rPr>
            </w:pPr>
            <w:r>
              <w:rPr>
                <w:rFonts w:hint="eastAsia" w:ascii="Times New Roman" w:hAnsi="Times New Roman" w:eastAsia="仿宋_GB2312" w:cs="Times New Roman"/>
                <w:kern w:val="44"/>
                <w:sz w:val="28"/>
                <w:szCs w:val="28"/>
                <w:lang w:eastAsia="zh-CN" w:bidi="ar"/>
              </w:rPr>
              <w:t>3</w:t>
            </w:r>
          </w:p>
        </w:tc>
        <w:tc>
          <w:tcPr>
            <w:tcW w:w="708" w:type="dxa"/>
            <w:vMerge w:val="restart"/>
            <w:tcBorders>
              <w:top w:val="single" w:color="auto" w:sz="4" w:space="0"/>
              <w:left w:val="single" w:color="auto" w:sz="4" w:space="0"/>
              <w:right w:val="single" w:color="auto" w:sz="4" w:space="0"/>
            </w:tcBorders>
            <w:vAlign w:val="center"/>
          </w:tcPr>
          <w:p w14:paraId="72A8D0E6">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染色牢度a/级</w:t>
            </w:r>
          </w:p>
        </w:tc>
        <w:tc>
          <w:tcPr>
            <w:tcW w:w="3101" w:type="dxa"/>
            <w:tcBorders>
              <w:top w:val="single" w:color="auto" w:sz="4" w:space="0"/>
              <w:left w:val="single" w:color="auto" w:sz="4" w:space="0"/>
              <w:bottom w:val="single" w:color="auto" w:sz="4" w:space="0"/>
              <w:right w:val="single" w:color="auto" w:sz="4" w:space="0"/>
            </w:tcBorders>
            <w:vAlign w:val="center"/>
          </w:tcPr>
          <w:p w14:paraId="18791A34">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耐水色牢度</w:t>
            </w:r>
          </w:p>
          <w:p w14:paraId="020E7EA0">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（变色、沾色）</w:t>
            </w:r>
          </w:p>
        </w:tc>
        <w:tc>
          <w:tcPr>
            <w:tcW w:w="4745" w:type="dxa"/>
            <w:tcBorders>
              <w:top w:val="single" w:color="auto" w:sz="4" w:space="0"/>
              <w:left w:val="single" w:color="auto" w:sz="4" w:space="0"/>
              <w:bottom w:val="single" w:color="auto" w:sz="4" w:space="0"/>
              <w:right w:val="single" w:color="auto" w:sz="4" w:space="0"/>
            </w:tcBorders>
            <w:vAlign w:val="center"/>
          </w:tcPr>
          <w:p w14:paraId="0852C763">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GB/T 5713-2013</w:t>
            </w:r>
          </w:p>
        </w:tc>
      </w:tr>
      <w:tr w14:paraId="58B538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7" w:type="dxa"/>
            <w:vMerge w:val="continue"/>
            <w:tcBorders>
              <w:left w:val="single" w:color="auto" w:sz="4" w:space="0"/>
              <w:bottom w:val="single" w:color="auto" w:sz="4" w:space="0"/>
              <w:right w:val="single" w:color="auto" w:sz="4" w:space="0"/>
            </w:tcBorders>
            <w:vAlign w:val="center"/>
          </w:tcPr>
          <w:p w14:paraId="42EC41A4">
            <w:pPr>
              <w:autoSpaceDE/>
              <w:autoSpaceDN/>
              <w:jc w:val="center"/>
              <w:rPr>
                <w:rFonts w:ascii="Times New Roman" w:hAnsi="Times New Roman" w:eastAsia="仿宋_GB2312" w:cs="Times New Roman"/>
                <w:kern w:val="44"/>
                <w:sz w:val="28"/>
                <w:szCs w:val="28"/>
                <w:lang w:eastAsia="zh-CN" w:bidi="ar"/>
              </w:rPr>
            </w:pPr>
          </w:p>
        </w:tc>
        <w:tc>
          <w:tcPr>
            <w:tcW w:w="708" w:type="dxa"/>
            <w:vMerge w:val="continue"/>
            <w:tcBorders>
              <w:left w:val="single" w:color="auto" w:sz="4" w:space="0"/>
              <w:bottom w:val="single" w:color="auto" w:sz="4" w:space="0"/>
              <w:right w:val="single" w:color="auto" w:sz="4" w:space="0"/>
            </w:tcBorders>
            <w:vAlign w:val="center"/>
          </w:tcPr>
          <w:p w14:paraId="58D38D31">
            <w:pPr>
              <w:autoSpaceDE/>
              <w:autoSpaceDN/>
              <w:jc w:val="center"/>
              <w:rPr>
                <w:rFonts w:ascii="Times New Roman" w:hAnsi="Times New Roman" w:eastAsia="仿宋_GB2312" w:cs="Times New Roman"/>
                <w:kern w:val="44"/>
                <w:sz w:val="28"/>
                <w:szCs w:val="28"/>
                <w:lang w:eastAsia="zh-CN" w:bidi="ar"/>
              </w:rPr>
            </w:pPr>
          </w:p>
        </w:tc>
        <w:tc>
          <w:tcPr>
            <w:tcW w:w="3101" w:type="dxa"/>
            <w:tcBorders>
              <w:top w:val="single" w:color="auto" w:sz="4" w:space="0"/>
              <w:left w:val="single" w:color="auto" w:sz="4" w:space="0"/>
              <w:bottom w:val="single" w:color="auto" w:sz="4" w:space="0"/>
              <w:right w:val="single" w:color="auto" w:sz="4" w:space="0"/>
            </w:tcBorders>
            <w:vAlign w:val="center"/>
          </w:tcPr>
          <w:p w14:paraId="317BB31C">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耐酸汗渍色牢度（变色、沾色）</w:t>
            </w:r>
          </w:p>
        </w:tc>
        <w:tc>
          <w:tcPr>
            <w:tcW w:w="4745" w:type="dxa"/>
            <w:tcBorders>
              <w:top w:val="single" w:color="auto" w:sz="4" w:space="0"/>
              <w:left w:val="single" w:color="auto" w:sz="4" w:space="0"/>
              <w:bottom w:val="single" w:color="auto" w:sz="4" w:space="0"/>
              <w:right w:val="single" w:color="auto" w:sz="4" w:space="0"/>
            </w:tcBorders>
            <w:vAlign w:val="center"/>
          </w:tcPr>
          <w:p w14:paraId="7763A1E3">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GB/T 3922-2013</w:t>
            </w:r>
          </w:p>
        </w:tc>
      </w:tr>
      <w:tr w14:paraId="1F9C4B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7" w:type="dxa"/>
            <w:vMerge w:val="continue"/>
            <w:tcBorders>
              <w:top w:val="single" w:color="auto" w:sz="4" w:space="0"/>
              <w:left w:val="single" w:color="auto" w:sz="4" w:space="0"/>
              <w:bottom w:val="single" w:color="auto" w:sz="4" w:space="0"/>
              <w:right w:val="single" w:color="auto" w:sz="4" w:space="0"/>
            </w:tcBorders>
            <w:vAlign w:val="center"/>
          </w:tcPr>
          <w:p w14:paraId="4DB2BB47">
            <w:pPr>
              <w:autoSpaceDE/>
              <w:autoSpaceDN/>
              <w:jc w:val="center"/>
              <w:rPr>
                <w:rFonts w:ascii="Times New Roman" w:hAnsi="Times New Roman" w:eastAsia="仿宋_GB2312" w:cs="Times New Roman"/>
                <w:kern w:val="44"/>
                <w:sz w:val="28"/>
                <w:szCs w:val="28"/>
                <w:lang w:eastAsia="zh-CN" w:bidi="ar"/>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5CC772B3">
            <w:pPr>
              <w:autoSpaceDE/>
              <w:autoSpaceDN/>
              <w:jc w:val="center"/>
              <w:rPr>
                <w:rFonts w:ascii="Times New Roman" w:hAnsi="Times New Roman" w:eastAsia="仿宋_GB2312" w:cs="Times New Roman"/>
                <w:kern w:val="44"/>
                <w:sz w:val="28"/>
                <w:szCs w:val="28"/>
                <w:lang w:eastAsia="zh-CN" w:bidi="ar"/>
              </w:rPr>
            </w:pPr>
          </w:p>
        </w:tc>
        <w:tc>
          <w:tcPr>
            <w:tcW w:w="3101" w:type="dxa"/>
            <w:tcBorders>
              <w:top w:val="nil"/>
              <w:left w:val="single" w:color="auto" w:sz="4" w:space="0"/>
              <w:bottom w:val="single" w:color="auto" w:sz="4" w:space="0"/>
              <w:right w:val="single" w:color="auto" w:sz="4" w:space="0"/>
            </w:tcBorders>
            <w:vAlign w:val="center"/>
          </w:tcPr>
          <w:p w14:paraId="6A882A0C">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耐碱汗渍色牢度（变色、沾色）</w:t>
            </w:r>
          </w:p>
        </w:tc>
        <w:tc>
          <w:tcPr>
            <w:tcW w:w="4745" w:type="dxa"/>
            <w:tcBorders>
              <w:top w:val="single" w:color="auto" w:sz="4" w:space="0"/>
              <w:left w:val="single" w:color="auto" w:sz="4" w:space="0"/>
              <w:bottom w:val="single" w:color="auto" w:sz="4" w:space="0"/>
              <w:right w:val="single" w:color="auto" w:sz="4" w:space="0"/>
            </w:tcBorders>
            <w:vAlign w:val="center"/>
          </w:tcPr>
          <w:p w14:paraId="04C1F337">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GB/T 3922-2013</w:t>
            </w:r>
          </w:p>
        </w:tc>
      </w:tr>
      <w:tr w14:paraId="018FD5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7" w:type="dxa"/>
            <w:vMerge w:val="continue"/>
            <w:tcBorders>
              <w:top w:val="single" w:color="auto" w:sz="4" w:space="0"/>
              <w:left w:val="single" w:color="auto" w:sz="4" w:space="0"/>
              <w:bottom w:val="single" w:color="auto" w:sz="4" w:space="0"/>
              <w:right w:val="single" w:color="auto" w:sz="4" w:space="0"/>
            </w:tcBorders>
            <w:vAlign w:val="center"/>
          </w:tcPr>
          <w:p w14:paraId="11162C78">
            <w:pPr>
              <w:autoSpaceDE/>
              <w:autoSpaceDN/>
              <w:jc w:val="center"/>
              <w:rPr>
                <w:rFonts w:ascii="Times New Roman" w:hAnsi="Times New Roman" w:eastAsia="仿宋_GB2312" w:cs="Times New Roman"/>
                <w:kern w:val="44"/>
                <w:sz w:val="28"/>
                <w:szCs w:val="28"/>
                <w:lang w:eastAsia="zh-CN" w:bidi="ar"/>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1AB4A05B">
            <w:pPr>
              <w:autoSpaceDE/>
              <w:autoSpaceDN/>
              <w:jc w:val="center"/>
              <w:rPr>
                <w:rFonts w:ascii="Times New Roman" w:hAnsi="Times New Roman" w:eastAsia="仿宋_GB2312" w:cs="Times New Roman"/>
                <w:kern w:val="44"/>
                <w:sz w:val="28"/>
                <w:szCs w:val="28"/>
                <w:lang w:eastAsia="zh-CN" w:bidi="ar"/>
              </w:rPr>
            </w:pPr>
          </w:p>
        </w:tc>
        <w:tc>
          <w:tcPr>
            <w:tcW w:w="3101" w:type="dxa"/>
            <w:tcBorders>
              <w:top w:val="nil"/>
              <w:left w:val="single" w:color="auto" w:sz="4" w:space="0"/>
              <w:bottom w:val="single" w:color="auto" w:sz="4" w:space="0"/>
              <w:right w:val="single" w:color="auto" w:sz="4" w:space="0"/>
            </w:tcBorders>
            <w:vAlign w:val="center"/>
          </w:tcPr>
          <w:p w14:paraId="1E7895B5">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耐干摩擦色牢度</w:t>
            </w:r>
          </w:p>
        </w:tc>
        <w:tc>
          <w:tcPr>
            <w:tcW w:w="4745" w:type="dxa"/>
            <w:tcBorders>
              <w:top w:val="single" w:color="auto" w:sz="4" w:space="0"/>
              <w:left w:val="single" w:color="auto" w:sz="4" w:space="0"/>
              <w:bottom w:val="single" w:color="auto" w:sz="4" w:space="0"/>
              <w:right w:val="single" w:color="auto" w:sz="4" w:space="0"/>
            </w:tcBorders>
            <w:vAlign w:val="center"/>
          </w:tcPr>
          <w:p w14:paraId="131401A5">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GB/T 3920-2008</w:t>
            </w:r>
          </w:p>
        </w:tc>
      </w:tr>
      <w:tr w14:paraId="744AC5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7" w:type="dxa"/>
            <w:vMerge w:val="continue"/>
            <w:tcBorders>
              <w:top w:val="single" w:color="auto" w:sz="4" w:space="0"/>
              <w:left w:val="single" w:color="auto" w:sz="4" w:space="0"/>
              <w:bottom w:val="single" w:color="auto" w:sz="4" w:space="0"/>
              <w:right w:val="single" w:color="auto" w:sz="4" w:space="0"/>
            </w:tcBorders>
            <w:vAlign w:val="center"/>
          </w:tcPr>
          <w:p w14:paraId="4EC03F6E">
            <w:pPr>
              <w:autoSpaceDE/>
              <w:autoSpaceDN/>
              <w:jc w:val="center"/>
              <w:rPr>
                <w:rFonts w:ascii="Times New Roman" w:hAnsi="Times New Roman" w:eastAsia="仿宋_GB2312" w:cs="Times New Roman"/>
                <w:kern w:val="44"/>
                <w:sz w:val="28"/>
                <w:szCs w:val="28"/>
                <w:lang w:eastAsia="zh-CN" w:bidi="ar"/>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404E2F0F">
            <w:pPr>
              <w:autoSpaceDE/>
              <w:autoSpaceDN/>
              <w:jc w:val="center"/>
              <w:rPr>
                <w:rFonts w:ascii="Times New Roman" w:hAnsi="Times New Roman" w:eastAsia="仿宋_GB2312" w:cs="Times New Roman"/>
                <w:kern w:val="44"/>
                <w:sz w:val="28"/>
                <w:szCs w:val="28"/>
                <w:lang w:eastAsia="zh-CN" w:bidi="ar"/>
              </w:rPr>
            </w:pPr>
          </w:p>
        </w:tc>
        <w:tc>
          <w:tcPr>
            <w:tcW w:w="3101" w:type="dxa"/>
            <w:tcBorders>
              <w:top w:val="nil"/>
              <w:left w:val="single" w:color="auto" w:sz="4" w:space="0"/>
              <w:bottom w:val="single" w:color="auto" w:sz="4" w:space="0"/>
              <w:right w:val="single" w:color="auto" w:sz="4" w:space="0"/>
            </w:tcBorders>
            <w:vAlign w:val="center"/>
          </w:tcPr>
          <w:p w14:paraId="127032F6">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耐湿摩擦色牢度</w:t>
            </w:r>
          </w:p>
        </w:tc>
        <w:tc>
          <w:tcPr>
            <w:tcW w:w="4745" w:type="dxa"/>
            <w:tcBorders>
              <w:top w:val="single" w:color="auto" w:sz="4" w:space="0"/>
              <w:left w:val="single" w:color="auto" w:sz="4" w:space="0"/>
              <w:bottom w:val="single" w:color="auto" w:sz="4" w:space="0"/>
              <w:right w:val="single" w:color="auto" w:sz="4" w:space="0"/>
            </w:tcBorders>
            <w:vAlign w:val="center"/>
          </w:tcPr>
          <w:p w14:paraId="755FB90B">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GB/T 3920-2008</w:t>
            </w:r>
          </w:p>
        </w:tc>
      </w:tr>
      <w:tr w14:paraId="4D976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2E9A3DEE">
            <w:pPr>
              <w:autoSpaceDE/>
              <w:autoSpaceDN/>
              <w:jc w:val="center"/>
              <w:rPr>
                <w:rFonts w:ascii="Times New Roman" w:hAnsi="Times New Roman" w:eastAsia="仿宋_GB2312" w:cs="Times New Roman"/>
                <w:kern w:val="44"/>
                <w:sz w:val="28"/>
                <w:szCs w:val="28"/>
                <w:lang w:eastAsia="zh-CN" w:bidi="ar"/>
              </w:rPr>
            </w:pPr>
            <w:r>
              <w:rPr>
                <w:rFonts w:hint="eastAsia" w:ascii="Times New Roman" w:hAnsi="Times New Roman" w:eastAsia="仿宋_GB2312" w:cs="Times New Roman"/>
                <w:kern w:val="44"/>
                <w:sz w:val="28"/>
                <w:szCs w:val="28"/>
                <w:lang w:eastAsia="zh-CN" w:bidi="ar"/>
              </w:rPr>
              <w:t>4</w:t>
            </w:r>
          </w:p>
        </w:tc>
        <w:tc>
          <w:tcPr>
            <w:tcW w:w="3809" w:type="dxa"/>
            <w:gridSpan w:val="2"/>
            <w:tcBorders>
              <w:top w:val="single" w:color="auto" w:sz="4" w:space="0"/>
              <w:left w:val="single" w:color="auto" w:sz="4" w:space="0"/>
              <w:bottom w:val="single" w:color="auto" w:sz="4" w:space="0"/>
              <w:right w:val="single" w:color="auto" w:sz="4" w:space="0"/>
            </w:tcBorders>
            <w:vAlign w:val="center"/>
          </w:tcPr>
          <w:p w14:paraId="3834CF27">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绳带要求</w:t>
            </w:r>
          </w:p>
        </w:tc>
        <w:tc>
          <w:tcPr>
            <w:tcW w:w="4745" w:type="dxa"/>
            <w:tcBorders>
              <w:top w:val="single" w:color="auto" w:sz="4" w:space="0"/>
              <w:left w:val="single" w:color="auto" w:sz="4" w:space="0"/>
              <w:bottom w:val="single" w:color="auto" w:sz="4" w:space="0"/>
              <w:right w:val="single" w:color="auto" w:sz="4" w:space="0"/>
            </w:tcBorders>
            <w:vAlign w:val="center"/>
          </w:tcPr>
          <w:p w14:paraId="6948FDD9">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GB 3170</w:t>
            </w:r>
            <w:r>
              <w:rPr>
                <w:rFonts w:hint="eastAsia" w:ascii="Times New Roman" w:hAnsi="Times New Roman" w:eastAsia="仿宋_GB2312" w:cs="Times New Roman"/>
                <w:kern w:val="44"/>
                <w:sz w:val="28"/>
                <w:szCs w:val="28"/>
                <w:lang w:eastAsia="zh-CN" w:bidi="ar"/>
              </w:rPr>
              <w:t>1</w:t>
            </w:r>
            <w:r>
              <w:rPr>
                <w:rFonts w:ascii="Times New Roman" w:hAnsi="Times New Roman" w:eastAsia="仿宋_GB2312" w:cs="Times New Roman"/>
                <w:kern w:val="44"/>
                <w:sz w:val="28"/>
                <w:szCs w:val="28"/>
                <w:lang w:eastAsia="zh-CN" w:bidi="ar"/>
              </w:rPr>
              <w:t>-2015中5.</w:t>
            </w:r>
            <w:r>
              <w:rPr>
                <w:rFonts w:hint="eastAsia" w:ascii="Times New Roman" w:hAnsi="Times New Roman" w:eastAsia="仿宋_GB2312" w:cs="Times New Roman"/>
                <w:kern w:val="44"/>
                <w:sz w:val="28"/>
                <w:szCs w:val="28"/>
                <w:lang w:eastAsia="zh-CN" w:bidi="ar"/>
              </w:rPr>
              <w:t>7</w:t>
            </w:r>
          </w:p>
        </w:tc>
      </w:tr>
      <w:tr w14:paraId="7FC490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34133C8D">
            <w:pPr>
              <w:autoSpaceDE/>
              <w:autoSpaceDN/>
              <w:jc w:val="center"/>
              <w:rPr>
                <w:rFonts w:ascii="Times New Roman" w:hAnsi="Times New Roman" w:eastAsia="仿宋_GB2312" w:cs="Times New Roman"/>
                <w:kern w:val="44"/>
                <w:sz w:val="28"/>
                <w:szCs w:val="28"/>
                <w:lang w:eastAsia="zh-CN" w:bidi="ar"/>
              </w:rPr>
            </w:pPr>
            <w:r>
              <w:rPr>
                <w:rFonts w:hint="eastAsia" w:ascii="Times New Roman" w:hAnsi="Times New Roman" w:eastAsia="仿宋_GB2312" w:cs="Times New Roman"/>
                <w:kern w:val="44"/>
                <w:sz w:val="28"/>
                <w:szCs w:val="28"/>
                <w:lang w:eastAsia="zh-CN" w:bidi="ar"/>
              </w:rPr>
              <w:t>5</w:t>
            </w:r>
          </w:p>
        </w:tc>
        <w:tc>
          <w:tcPr>
            <w:tcW w:w="3809" w:type="dxa"/>
            <w:gridSpan w:val="2"/>
            <w:tcBorders>
              <w:top w:val="single" w:color="auto" w:sz="4" w:space="0"/>
              <w:left w:val="single" w:color="auto" w:sz="4" w:space="0"/>
              <w:bottom w:val="single" w:color="auto" w:sz="4" w:space="0"/>
              <w:right w:val="single" w:color="auto" w:sz="4" w:space="0"/>
            </w:tcBorders>
            <w:vAlign w:val="center"/>
          </w:tcPr>
          <w:p w14:paraId="0D9B75BD">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纤维含量</w:t>
            </w:r>
          </w:p>
        </w:tc>
        <w:tc>
          <w:tcPr>
            <w:tcW w:w="4745" w:type="dxa"/>
            <w:tcBorders>
              <w:top w:val="single" w:color="auto" w:sz="4" w:space="0"/>
              <w:left w:val="single" w:color="auto" w:sz="4" w:space="0"/>
              <w:bottom w:val="single" w:color="auto" w:sz="4" w:space="0"/>
              <w:right w:val="single" w:color="auto" w:sz="4" w:space="0"/>
            </w:tcBorders>
            <w:vAlign w:val="center"/>
          </w:tcPr>
          <w:p w14:paraId="74C7DE55">
            <w:pPr>
              <w:autoSpaceDE/>
              <w:autoSpaceDN/>
              <w:jc w:val="center"/>
              <w:rPr>
                <w:rFonts w:ascii="Times New Roman" w:hAnsi="Times New Roman" w:eastAsia="仿宋_GB2312" w:cs="Times New Roman"/>
                <w:kern w:val="44"/>
                <w:sz w:val="28"/>
                <w:szCs w:val="28"/>
                <w:lang w:eastAsia="zh-CN" w:bidi="ar"/>
              </w:rPr>
            </w:pPr>
            <w:r>
              <w:rPr>
                <w:rFonts w:ascii="Times New Roman" w:hAnsi="Times New Roman" w:eastAsia="仿宋_GB2312" w:cs="Times New Roman"/>
                <w:kern w:val="44"/>
                <w:sz w:val="28"/>
                <w:szCs w:val="28"/>
                <w:lang w:eastAsia="zh-CN" w:bidi="ar"/>
              </w:rPr>
              <w:t>GB/T 2910</w:t>
            </w:r>
          </w:p>
        </w:tc>
      </w:tr>
      <w:tr w14:paraId="3E19C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5" w:hRule="atLeast"/>
          <w:jc w:val="center"/>
        </w:trPr>
        <w:tc>
          <w:tcPr>
            <w:tcW w:w="9431" w:type="dxa"/>
            <w:gridSpan w:val="4"/>
            <w:tcBorders>
              <w:top w:val="single" w:color="auto" w:sz="4" w:space="0"/>
              <w:left w:val="single" w:color="auto" w:sz="4" w:space="0"/>
              <w:bottom w:val="single" w:color="auto" w:sz="4" w:space="0"/>
              <w:right w:val="single" w:color="auto" w:sz="4" w:space="0"/>
            </w:tcBorders>
            <w:vAlign w:val="center"/>
          </w:tcPr>
          <w:p w14:paraId="574646DF">
            <w:pPr>
              <w:autoSpaceDE/>
              <w:autoSpaceDN/>
              <w:spacing w:line="360" w:lineRule="auto"/>
              <w:ind w:firstLine="560" w:firstLineChars="200"/>
              <w:jc w:val="both"/>
              <w:rPr>
                <w:rFonts w:ascii="Times New Roman" w:hAnsi="Times New Roman" w:eastAsia="仿宋_GB2312" w:cs="Times New Roman"/>
                <w:kern w:val="44"/>
                <w:sz w:val="28"/>
                <w:szCs w:val="28"/>
                <w:lang w:eastAsia="zh-CN" w:bidi="ar"/>
              </w:rPr>
            </w:pPr>
            <w:r>
              <w:rPr>
                <w:rFonts w:hint="eastAsia" w:ascii="Times New Roman" w:hAnsi="Times New Roman" w:eastAsia="仿宋_GB2312" w:cs="Times New Roman"/>
                <w:kern w:val="44"/>
                <w:sz w:val="28"/>
                <w:szCs w:val="28"/>
                <w:lang w:eastAsia="zh-CN" w:bidi="ar"/>
              </w:rPr>
              <w:t>注：a 对本色及漂白产品不要求。</w:t>
            </w:r>
          </w:p>
        </w:tc>
      </w:tr>
    </w:tbl>
    <w:p w14:paraId="4305EDEE">
      <w:pPr>
        <w:autoSpaceDE/>
        <w:autoSpaceDN/>
        <w:spacing w:line="580" w:lineRule="exact"/>
        <w:ind w:firstLine="640" w:firstLineChars="200"/>
        <w:jc w:val="both"/>
        <w:rPr>
          <w:rFonts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eastAsia="zh-CN"/>
        </w:rPr>
        <w:t>执行企业标准、团体标准、地方标准的产品，检验项目参照上述内容执行。</w:t>
      </w:r>
    </w:p>
    <w:p w14:paraId="132B72B9">
      <w:pPr>
        <w:autoSpaceDE/>
        <w:autoSpaceDN/>
        <w:spacing w:line="580" w:lineRule="exact"/>
        <w:ind w:firstLine="640" w:firstLineChars="200"/>
        <w:jc w:val="both"/>
        <w:rPr>
          <w:rFonts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eastAsia="zh-CN"/>
        </w:rPr>
        <w:t>凡是注日期的文件，其随后所有的修改单（不包括勘误的内容）或修订版不适用于本细则。凡是不注日期的文件，其最新版本适用于本细则。</w:t>
      </w:r>
    </w:p>
    <w:p w14:paraId="134AB4F1">
      <w:pPr>
        <w:pStyle w:val="14"/>
        <w:tabs>
          <w:tab w:val="left" w:pos="470"/>
        </w:tabs>
        <w:spacing w:before="60" w:line="360" w:lineRule="auto"/>
        <w:ind w:left="562" w:firstLine="0"/>
        <w:rPr>
          <w:rFonts w:ascii="Times New Roman" w:hAnsi="Times New Roman" w:eastAsia="黑体" w:cs="黑体"/>
          <w:kern w:val="2"/>
          <w:sz w:val="32"/>
          <w:szCs w:val="40"/>
          <w:lang w:eastAsia="zh-CN"/>
        </w:rPr>
      </w:pPr>
      <w:r>
        <w:rPr>
          <w:rFonts w:hint="eastAsia" w:ascii="Times New Roman" w:hAnsi="Times New Roman" w:eastAsia="黑体" w:cs="黑体"/>
          <w:kern w:val="2"/>
          <w:sz w:val="32"/>
          <w:szCs w:val="40"/>
          <w:lang w:eastAsia="zh-CN"/>
        </w:rPr>
        <w:t>3  判定规则</w:t>
      </w:r>
    </w:p>
    <w:p w14:paraId="52BA2675">
      <w:pPr>
        <w:autoSpaceDE/>
        <w:autoSpaceDN/>
        <w:spacing w:line="360" w:lineRule="auto"/>
        <w:ind w:firstLine="640" w:firstLineChars="200"/>
        <w:jc w:val="both"/>
        <w:rPr>
          <w:rFonts w:ascii="Times New Roman" w:hAnsi="Times New Roman" w:eastAsia="黑体" w:cs="黑体"/>
          <w:kern w:val="2"/>
          <w:sz w:val="32"/>
          <w:szCs w:val="40"/>
          <w:lang w:eastAsia="zh-CN"/>
        </w:rPr>
      </w:pPr>
      <w:r>
        <w:rPr>
          <w:rFonts w:hint="eastAsia" w:ascii="Times New Roman" w:hAnsi="Times New Roman" w:eastAsia="黑体" w:cs="黑体"/>
          <w:kern w:val="2"/>
          <w:sz w:val="32"/>
          <w:szCs w:val="40"/>
          <w:lang w:eastAsia="zh-CN"/>
        </w:rPr>
        <w:t>3.1   依据标准</w:t>
      </w:r>
    </w:p>
    <w:p w14:paraId="597E772B">
      <w:pPr>
        <w:autoSpaceDE/>
        <w:autoSpaceDN/>
        <w:spacing w:line="580" w:lineRule="exact"/>
        <w:ind w:firstLine="440" w:firstLineChars="200"/>
        <w:jc w:val="both"/>
        <w:rPr>
          <w:rFonts w:ascii="Times New Roman" w:hAnsi="Times New Roman" w:eastAsia="仿宋_GB2312" w:cs="Times New Roman"/>
          <w:kern w:val="2"/>
          <w:sz w:val="32"/>
          <w:szCs w:val="32"/>
          <w:lang w:eastAsia="zh-CN"/>
        </w:rPr>
      </w:pPr>
      <w:r>
        <w:fldChar w:fldCharType="begin"/>
      </w:r>
      <w:r>
        <w:instrText xml:space="preserve"> HYPERLINK "https://std.samr.gov.cn/gb/search/gbDetailed?id=71F772D7D9F6D3A7E05397BE0A0AB82A" \t "_blank" </w:instrText>
      </w:r>
      <w:r>
        <w:fldChar w:fldCharType="separate"/>
      </w:r>
      <w:r>
        <w:rPr>
          <w:rFonts w:hint="eastAsia" w:ascii="Times New Roman" w:hAnsi="Times New Roman" w:eastAsia="仿宋_GB2312" w:cs="Times New Roman"/>
          <w:kern w:val="2"/>
          <w:sz w:val="32"/>
          <w:szCs w:val="32"/>
          <w:lang w:eastAsia="zh-CN"/>
        </w:rPr>
        <w:t>GB 18401-2010</w:t>
      </w:r>
      <w:r>
        <w:rPr>
          <w:rFonts w:hint="eastAsia" w:ascii="Times New Roman" w:hAnsi="Times New Roman" w:eastAsia="仿宋_GB2312" w:cs="Times New Roman"/>
          <w:kern w:val="2"/>
          <w:sz w:val="32"/>
          <w:szCs w:val="32"/>
          <w:lang w:eastAsia="zh-CN"/>
        </w:rPr>
        <w:fldChar w:fldCharType="end"/>
      </w:r>
      <w:r>
        <w:rPr>
          <w:rFonts w:hint="eastAsia" w:ascii="Times New Roman" w:hAnsi="Times New Roman" w:eastAsia="仿宋_GB2312" w:cs="Times New Roman"/>
          <w:kern w:val="2"/>
          <w:sz w:val="32"/>
          <w:szCs w:val="32"/>
          <w:lang w:eastAsia="zh-CN"/>
        </w:rPr>
        <w:t>《国家纺织产品基本安全技术规范》</w:t>
      </w:r>
    </w:p>
    <w:p w14:paraId="176C7559">
      <w:pPr>
        <w:autoSpaceDE/>
        <w:autoSpaceDN/>
        <w:spacing w:line="580" w:lineRule="exact"/>
        <w:ind w:firstLine="640" w:firstLineChars="200"/>
        <w:jc w:val="both"/>
        <w:rPr>
          <w:rFonts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eastAsia="zh-CN"/>
        </w:rPr>
        <w:t>GB 31701-2015《婴幼儿及儿童纺织产品安全技术规范》</w:t>
      </w:r>
    </w:p>
    <w:p w14:paraId="204623A6">
      <w:pPr>
        <w:autoSpaceDE/>
        <w:autoSpaceDN/>
        <w:spacing w:line="580" w:lineRule="exact"/>
        <w:ind w:firstLine="640" w:firstLineChars="200"/>
        <w:jc w:val="both"/>
        <w:rPr>
          <w:rFonts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eastAsia="zh-CN"/>
        </w:rPr>
        <w:t>GB/T 31888-2015《中小学生校服》</w:t>
      </w:r>
    </w:p>
    <w:p w14:paraId="26CA6943">
      <w:pPr>
        <w:autoSpaceDE/>
        <w:autoSpaceDN/>
        <w:spacing w:line="580" w:lineRule="exact"/>
        <w:ind w:firstLine="640" w:firstLineChars="200"/>
        <w:jc w:val="both"/>
        <w:rPr>
          <w:rFonts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eastAsia="zh-CN"/>
        </w:rPr>
        <w:t>GB/T 22854-2009《针织学生服》</w:t>
      </w:r>
    </w:p>
    <w:p w14:paraId="1E1B39D9">
      <w:pPr>
        <w:autoSpaceDE/>
        <w:autoSpaceDN/>
        <w:spacing w:line="580" w:lineRule="exact"/>
        <w:ind w:firstLine="640" w:firstLineChars="200"/>
        <w:jc w:val="both"/>
        <w:rPr>
          <w:rFonts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eastAsia="zh-CN"/>
        </w:rPr>
        <w:t>GB/T 23328-2009《机织学生服》</w:t>
      </w:r>
    </w:p>
    <w:p w14:paraId="4A490CC6">
      <w:pPr>
        <w:autoSpaceDE/>
        <w:autoSpaceDN/>
        <w:spacing w:line="580" w:lineRule="exact"/>
        <w:ind w:firstLine="640" w:firstLineChars="200"/>
        <w:jc w:val="both"/>
        <w:rPr>
          <w:rFonts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eastAsia="zh-CN"/>
        </w:rPr>
        <w:t>现行有效的企业标准、团体标准、地方标准及产品明示质量要求</w:t>
      </w:r>
    </w:p>
    <w:p w14:paraId="6F7BD939">
      <w:pPr>
        <w:autoSpaceDE/>
        <w:autoSpaceDN/>
        <w:spacing w:line="360" w:lineRule="auto"/>
        <w:ind w:firstLine="640" w:firstLineChars="200"/>
        <w:jc w:val="both"/>
        <w:rPr>
          <w:rFonts w:ascii="Times New Roman" w:hAnsi="Times New Roman" w:eastAsia="黑体" w:cs="黑体"/>
          <w:kern w:val="2"/>
          <w:sz w:val="32"/>
          <w:szCs w:val="40"/>
          <w:lang w:eastAsia="zh-CN"/>
        </w:rPr>
      </w:pPr>
      <w:r>
        <w:rPr>
          <w:rFonts w:hint="eastAsia" w:ascii="Times New Roman" w:hAnsi="Times New Roman" w:eastAsia="黑体" w:cs="黑体"/>
          <w:kern w:val="2"/>
          <w:sz w:val="32"/>
          <w:szCs w:val="40"/>
          <w:lang w:eastAsia="zh-CN"/>
        </w:rPr>
        <w:t>3.2  判定原则</w:t>
      </w:r>
    </w:p>
    <w:p w14:paraId="03671A05">
      <w:pPr>
        <w:autoSpaceDE/>
        <w:autoSpaceDN/>
        <w:spacing w:line="580" w:lineRule="exact"/>
        <w:ind w:firstLine="640" w:firstLineChars="200"/>
        <w:jc w:val="both"/>
        <w:rPr>
          <w:rFonts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eastAsia="zh-CN"/>
        </w:rPr>
        <w:t>经检验，检验项目全部合格，判定为被抽查产品所检项目未发现不合格；检验项目中任一项或一项以上不合格，判定为被抽查产品不合格。</w:t>
      </w:r>
    </w:p>
    <w:p w14:paraId="1BD0DB56">
      <w:pPr>
        <w:autoSpaceDE/>
        <w:autoSpaceDN/>
        <w:spacing w:line="580" w:lineRule="exact"/>
        <w:ind w:firstLine="640" w:firstLineChars="200"/>
        <w:jc w:val="both"/>
        <w:rPr>
          <w:rFonts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eastAsia="zh-CN"/>
        </w:rPr>
        <w:t>若被检产品明示的质量要求高于本细则中检验项目依据的标准要求时，应按被检产品明示的质量要求判定。</w:t>
      </w:r>
    </w:p>
    <w:p w14:paraId="367B42F1">
      <w:pPr>
        <w:autoSpaceDE/>
        <w:autoSpaceDN/>
        <w:spacing w:line="580" w:lineRule="exact"/>
        <w:ind w:firstLine="640" w:firstLineChars="200"/>
        <w:jc w:val="both"/>
        <w:rPr>
          <w:rFonts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eastAsia="zh-CN"/>
        </w:rPr>
        <w:t>若被检产品明示的质量要求低于本细则中检验项目依据的强制性标准要求时，应按照强制性标准要求判定。</w:t>
      </w:r>
    </w:p>
    <w:p w14:paraId="31C3E314">
      <w:pPr>
        <w:autoSpaceDE/>
        <w:autoSpaceDN/>
        <w:spacing w:line="580" w:lineRule="exact"/>
        <w:ind w:firstLine="640" w:firstLineChars="200"/>
        <w:jc w:val="both"/>
        <w:rPr>
          <w:rFonts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eastAsia="zh-CN"/>
        </w:rPr>
        <w:t>若被检产品明示的质量要求低于或包含本细则中检验项目依据的推荐性标准要求时，应以被检产品明示的质量要求判定。</w:t>
      </w:r>
    </w:p>
    <w:p w14:paraId="42EB53B4">
      <w:pPr>
        <w:autoSpaceDE/>
        <w:autoSpaceDN/>
        <w:spacing w:line="580" w:lineRule="exact"/>
        <w:ind w:firstLine="640" w:firstLineChars="200"/>
        <w:jc w:val="both"/>
        <w:rPr>
          <w:rFonts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eastAsia="zh-CN"/>
        </w:rPr>
        <w:t>若被检产品明示的质量要求缺少本细则中检验项目依据的强制性标准要求时，应按照强制性标准要求判定。</w:t>
      </w:r>
    </w:p>
    <w:p w14:paraId="15D09FF6">
      <w:pPr>
        <w:autoSpaceDE/>
        <w:autoSpaceDN/>
        <w:spacing w:line="580" w:lineRule="exact"/>
        <w:ind w:firstLine="640" w:firstLineChars="200"/>
        <w:jc w:val="both"/>
        <w:rPr>
          <w:rFonts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eastAsia="zh-CN"/>
        </w:rPr>
        <w:t>若被检产品明示的质量要求缺少本细则中检验项目依据的推荐性标准要求时，该项目不参与判定。</w:t>
      </w:r>
    </w:p>
    <w:p w14:paraId="5D8E23BE">
      <w:pPr>
        <w:autoSpaceDE/>
        <w:autoSpaceDN/>
        <w:spacing w:line="580" w:lineRule="exact"/>
        <w:ind w:firstLine="640" w:firstLineChars="200"/>
        <w:jc w:val="both"/>
        <w:rPr>
          <w:rFonts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eastAsia="zh-CN"/>
        </w:rPr>
        <w:t>注：GB/T 31888-2015《中小学生校服》，校服直接接触皮肤的部分，其棉纤维含量标称值不低于35%。</w:t>
      </w:r>
    </w:p>
    <w:sectPr>
      <w:footerReference r:id="rId3" w:type="default"/>
      <w:pgSz w:w="11910" w:h="16840"/>
      <w:pgMar w:top="1580" w:right="1260" w:bottom="1400" w:left="1340" w:header="0" w:footer="1211"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A5266">
    <w:pPr>
      <w:pStyle w:val="5"/>
      <w:spacing w:before="0" w:line="14" w:lineRule="auto"/>
      <w:ind w:left="0"/>
      <w:rPr>
        <w:rFonts w:hint="eastAsia"/>
        <w:sz w:val="20"/>
      </w:rPr>
    </w:pPr>
    <w:bookmarkStart w:id="0" w:name="_GoBack"/>
    <w:bookmarkEnd w:id="0"/>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E3B8DDC">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E3B8DDC">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012"/>
    <w:rsid w:val="00017F3A"/>
    <w:rsid w:val="000565A9"/>
    <w:rsid w:val="000F03BD"/>
    <w:rsid w:val="0015383D"/>
    <w:rsid w:val="001B2879"/>
    <w:rsid w:val="001C4A18"/>
    <w:rsid w:val="001C7745"/>
    <w:rsid w:val="001F2019"/>
    <w:rsid w:val="00245675"/>
    <w:rsid w:val="002D3D77"/>
    <w:rsid w:val="002E16EB"/>
    <w:rsid w:val="002F7325"/>
    <w:rsid w:val="003B112A"/>
    <w:rsid w:val="003C5E4C"/>
    <w:rsid w:val="00477835"/>
    <w:rsid w:val="004850EC"/>
    <w:rsid w:val="00493002"/>
    <w:rsid w:val="004F5960"/>
    <w:rsid w:val="00553611"/>
    <w:rsid w:val="005D2271"/>
    <w:rsid w:val="00711524"/>
    <w:rsid w:val="007C4EC3"/>
    <w:rsid w:val="00806012"/>
    <w:rsid w:val="00832404"/>
    <w:rsid w:val="008A1F2B"/>
    <w:rsid w:val="00901656"/>
    <w:rsid w:val="0099726B"/>
    <w:rsid w:val="00A2410A"/>
    <w:rsid w:val="00BE791F"/>
    <w:rsid w:val="00C45828"/>
    <w:rsid w:val="00C614D9"/>
    <w:rsid w:val="00C76BFA"/>
    <w:rsid w:val="00C81B7D"/>
    <w:rsid w:val="00D03EC9"/>
    <w:rsid w:val="00D04638"/>
    <w:rsid w:val="00D23178"/>
    <w:rsid w:val="00D81DE9"/>
    <w:rsid w:val="00DE003B"/>
    <w:rsid w:val="00E11F1E"/>
    <w:rsid w:val="00E52352"/>
    <w:rsid w:val="00E650E3"/>
    <w:rsid w:val="00EC2B1E"/>
    <w:rsid w:val="00F43B0C"/>
    <w:rsid w:val="00F80252"/>
    <w:rsid w:val="00FB4F64"/>
    <w:rsid w:val="00FC67EA"/>
    <w:rsid w:val="0F9D274F"/>
    <w:rsid w:val="15B70189"/>
    <w:rsid w:val="1D0B7CE8"/>
    <w:rsid w:val="248C1C40"/>
    <w:rsid w:val="285D5781"/>
    <w:rsid w:val="41B71FFE"/>
    <w:rsid w:val="42F0224E"/>
    <w:rsid w:val="58212761"/>
    <w:rsid w:val="5B1537E9"/>
    <w:rsid w:val="64DFEC10"/>
    <w:rsid w:val="77771E26"/>
    <w:rsid w:val="7BBF7354"/>
    <w:rsid w:val="7BFBC775"/>
    <w:rsid w:val="A7BF0592"/>
    <w:rsid w:val="B4BFD818"/>
    <w:rsid w:val="DFADED0B"/>
    <w:rsid w:val="E9D2E126"/>
    <w:rsid w:val="FF9B3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Arial" w:hAnsi="Arial" w:eastAsia="Arial" w:cs="Arial"/>
      <w:sz w:val="22"/>
      <w:szCs w:val="22"/>
      <w:lang w:val="en-US" w:eastAsia="en-US" w:bidi="ar-SA"/>
    </w:rPr>
  </w:style>
  <w:style w:type="paragraph" w:styleId="2">
    <w:name w:val="heading 1"/>
    <w:basedOn w:val="1"/>
    <w:next w:val="1"/>
    <w:qFormat/>
    <w:uiPriority w:val="0"/>
    <w:pPr>
      <w:jc w:val="center"/>
      <w:outlineLvl w:val="0"/>
    </w:pPr>
    <w:rPr>
      <w:rFonts w:ascii="方正小标宋简体" w:eastAsia="方正小标宋简体"/>
      <w:kern w:val="44"/>
      <w:sz w:val="38"/>
    </w:rPr>
  </w:style>
  <w:style w:type="paragraph" w:styleId="3">
    <w:name w:val="heading 3"/>
    <w:basedOn w:val="1"/>
    <w:next w:val="1"/>
    <w:semiHidden/>
    <w:unhideWhenUsed/>
    <w:qFormat/>
    <w:uiPriority w:val="9"/>
    <w:pPr>
      <w:spacing w:beforeAutospacing="1" w:afterAutospacing="1"/>
      <w:outlineLvl w:val="2"/>
    </w:pPr>
    <w:rPr>
      <w:rFonts w:hint="eastAsia" w:ascii="宋体" w:hAnsi="宋体" w:eastAsia="宋体" w:cs="Times New Roman"/>
      <w:b/>
      <w:bCs/>
      <w:sz w:val="27"/>
      <w:szCs w:val="27"/>
      <w:lang w:eastAsia="zh-CN"/>
    </w:rPr>
  </w:style>
  <w:style w:type="paragraph" w:styleId="4">
    <w:name w:val="heading 4"/>
    <w:basedOn w:val="1"/>
    <w:link w:val="19"/>
    <w:qFormat/>
    <w:uiPriority w:val="9"/>
    <w:pPr>
      <w:widowControl/>
      <w:autoSpaceDE/>
      <w:autoSpaceDN/>
      <w:spacing w:before="100" w:beforeAutospacing="1" w:after="100" w:afterAutospacing="1"/>
      <w:outlineLvl w:val="3"/>
    </w:pPr>
    <w:rPr>
      <w:rFonts w:ascii="宋体" w:hAnsi="宋体" w:eastAsia="宋体" w:cs="宋体"/>
      <w:b/>
      <w:bCs/>
      <w:sz w:val="24"/>
      <w:szCs w:val="24"/>
      <w:lang w:eastAsia="zh-CN"/>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1"/>
    <w:pPr>
      <w:spacing w:before="170"/>
      <w:ind w:left="668"/>
    </w:pPr>
    <w:rPr>
      <w:rFonts w:ascii="宋体" w:hAnsi="宋体" w:eastAsia="宋体" w:cs="宋体"/>
      <w:sz w:val="21"/>
      <w:szCs w:val="21"/>
    </w:rPr>
  </w:style>
  <w:style w:type="paragraph" w:styleId="6">
    <w:name w:val="Plain Text"/>
    <w:basedOn w:val="1"/>
    <w:qFormat/>
    <w:uiPriority w:val="0"/>
    <w:rPr>
      <w:rFonts w:ascii="宋体" w:hAnsi="Courier New" w:eastAsia="宋体" w:cs="Courier New"/>
      <w:sz w:val="21"/>
      <w:szCs w:val="21"/>
    </w:rPr>
  </w:style>
  <w:style w:type="paragraph" w:styleId="7">
    <w:name w:val="footer"/>
    <w:basedOn w:val="1"/>
    <w:link w:val="18"/>
    <w:unhideWhenUsed/>
    <w:qFormat/>
    <w:uiPriority w:val="99"/>
    <w:pPr>
      <w:tabs>
        <w:tab w:val="center" w:pos="4153"/>
        <w:tab w:val="right" w:pos="8306"/>
      </w:tabs>
      <w:snapToGrid w:val="0"/>
    </w:pPr>
    <w:rPr>
      <w:sz w:val="18"/>
      <w:szCs w:val="18"/>
    </w:rPr>
  </w:style>
  <w:style w:type="paragraph" w:styleId="8">
    <w:name w:val="header"/>
    <w:basedOn w:val="1"/>
    <w:link w:val="17"/>
    <w:unhideWhenUsed/>
    <w:qFormat/>
    <w:uiPriority w:val="99"/>
    <w:pPr>
      <w:tabs>
        <w:tab w:val="center" w:pos="4153"/>
        <w:tab w:val="right" w:pos="8306"/>
      </w:tabs>
      <w:snapToGrid w:val="0"/>
      <w:jc w:val="center"/>
    </w:pPr>
    <w:rPr>
      <w:sz w:val="18"/>
      <w:szCs w:val="18"/>
    </w:rPr>
  </w:style>
  <w:style w:type="character" w:styleId="11">
    <w:name w:val="Strong"/>
    <w:basedOn w:val="10"/>
    <w:qFormat/>
    <w:uiPriority w:val="22"/>
    <w:rPr>
      <w:b/>
    </w:rPr>
  </w:style>
  <w:style w:type="character" w:styleId="12">
    <w:name w:val="Hyperlink"/>
    <w:basedOn w:val="10"/>
    <w:semiHidden/>
    <w:unhideWhenUsed/>
    <w:qFormat/>
    <w:uiPriority w:val="99"/>
    <w:rPr>
      <w:color w:val="0000FF"/>
      <w:u w:val="single"/>
    </w:rPr>
  </w:style>
  <w:style w:type="table" w:customStyle="1" w:styleId="13">
    <w:name w:val="Table Normal"/>
    <w:semiHidden/>
    <w:unhideWhenUsed/>
    <w:qFormat/>
    <w:uiPriority w:val="2"/>
    <w:tblPr>
      <w:tblCellMar>
        <w:top w:w="0" w:type="dxa"/>
        <w:left w:w="0" w:type="dxa"/>
        <w:bottom w:w="0" w:type="dxa"/>
        <w:right w:w="0" w:type="dxa"/>
      </w:tblCellMar>
    </w:tblPr>
  </w:style>
  <w:style w:type="paragraph" w:styleId="14">
    <w:name w:val="List Paragraph"/>
    <w:basedOn w:val="1"/>
    <w:qFormat/>
    <w:uiPriority w:val="1"/>
    <w:pPr>
      <w:ind w:left="469" w:hanging="222"/>
    </w:pPr>
    <w:rPr>
      <w:rFonts w:ascii="华文细黑" w:hAnsi="华文细黑" w:eastAsia="华文细黑" w:cs="华文细黑"/>
    </w:rPr>
  </w:style>
  <w:style w:type="paragraph" w:customStyle="1" w:styleId="15">
    <w:name w:val="Table Paragraph"/>
    <w:basedOn w:val="1"/>
    <w:qFormat/>
    <w:uiPriority w:val="1"/>
    <w:pPr>
      <w:jc w:val="center"/>
    </w:pPr>
  </w:style>
  <w:style w:type="paragraph" w:customStyle="1" w:styleId="16">
    <w:name w:val="Char"/>
    <w:basedOn w:val="1"/>
    <w:qFormat/>
    <w:uiPriority w:val="0"/>
    <w:pPr>
      <w:tabs>
        <w:tab w:val="left" w:pos="4665"/>
        <w:tab w:val="left" w:pos="8970"/>
      </w:tabs>
      <w:autoSpaceDE/>
      <w:autoSpaceDN/>
      <w:ind w:firstLine="400"/>
      <w:jc w:val="both"/>
    </w:pPr>
    <w:rPr>
      <w:rFonts w:ascii="Tahoma" w:hAnsi="Tahoma" w:eastAsia="宋体" w:cs="Tahoma"/>
      <w:kern w:val="2"/>
      <w:sz w:val="24"/>
      <w:szCs w:val="24"/>
      <w:lang w:eastAsia="zh-CN"/>
    </w:rPr>
  </w:style>
  <w:style w:type="character" w:customStyle="1" w:styleId="17">
    <w:name w:val="页眉 字符"/>
    <w:basedOn w:val="10"/>
    <w:link w:val="8"/>
    <w:qFormat/>
    <w:uiPriority w:val="99"/>
    <w:rPr>
      <w:rFonts w:ascii="Arial" w:hAnsi="Arial" w:eastAsia="Arial" w:cs="Arial"/>
      <w:sz w:val="18"/>
      <w:szCs w:val="18"/>
    </w:rPr>
  </w:style>
  <w:style w:type="character" w:customStyle="1" w:styleId="18">
    <w:name w:val="页脚 字符"/>
    <w:basedOn w:val="10"/>
    <w:link w:val="7"/>
    <w:qFormat/>
    <w:uiPriority w:val="99"/>
    <w:rPr>
      <w:rFonts w:ascii="Arial" w:hAnsi="Arial" w:eastAsia="Arial" w:cs="Arial"/>
      <w:sz w:val="18"/>
      <w:szCs w:val="18"/>
    </w:rPr>
  </w:style>
  <w:style w:type="character" w:customStyle="1" w:styleId="19">
    <w:name w:val="标题 4 字符"/>
    <w:basedOn w:val="10"/>
    <w:link w:val="4"/>
    <w:qFormat/>
    <w:uiPriority w:val="9"/>
    <w:rPr>
      <w:rFonts w:ascii="宋体" w:hAnsi="宋体" w:eastAsia="宋体" w:cs="宋体"/>
      <w:b/>
      <w:bCs/>
      <w:sz w:val="24"/>
      <w:szCs w:val="24"/>
      <w:lang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874</Words>
  <Characters>1050</Characters>
  <Lines>57</Lines>
  <Paragraphs>63</Paragraphs>
  <TotalTime>6</TotalTime>
  <ScaleCrop>false</ScaleCrop>
  <LinksUpToDate>false</LinksUpToDate>
  <CharactersWithSpaces>1078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2024-12-05T00:07:00Z</dcterms:created>
  <dc:creator>Legend User</dc:creator>
  <cp:lastModifiedBy>蓄深养厚</cp:lastModifiedBy>
  <dcterms:modified xsi:type="dcterms:W3CDTF">2026-08-24T06:49:11Z</dcterms:modified>
  <dc:title>××产品质量监督抽查实施细则</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2023-10-10T00:00:00Z</vt:filetime>
  </property>
  <property fmtid="{D5CDD505-2E9C-101B-9397-08002B2CF9AE}" pid="3" name="Creator">
    <vt:lpwstr>WPS 文字</vt:lpwstr>
  </property>
  <property fmtid="{D5CDD505-2E9C-101B-9397-08002B2CF9AE}" pid="4" name="LastSaved">
    <vt:filetime>2024-12-03T00:00:00Z</vt:filetime>
  </property>
  <property fmtid="{D5CDD505-2E9C-101B-9397-08002B2CF9AE}" pid="5" name="KSOTemplateDocerSaveRecord">
    <vt:lpwstr>eyJoZGlkIjoiZjVhOWFhMGNiOWZjYTA3MGVhNjBkMDEyNGRkODFmNDMiLCJ1c2VySWQiOiI5OTYwNDQ2NTAifQ==</vt:lpwstr>
  </property>
  <property fmtid="{D5CDD505-2E9C-101B-9397-08002B2CF9AE}" pid="6" name="KSOProductBuildVer">
    <vt:lpwstr>2052-12.1.0.28043</vt:lpwstr>
  </property>
  <property fmtid="{D5CDD505-2E9C-101B-9397-08002B2CF9AE}" pid="7" name="ICV">
    <vt:lpwstr>DAD2EC7EABFB4878A971D7704C78F1D5_13</vt:lpwstr>
  </property>
</Properties>
</file>