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color w:val="000000" w:themeColor="text1"/>
          <w:spacing w:val="40"/>
          <w:sz w:val="28"/>
          <w14:textFill>
            <w14:solidFill>
              <w14:schemeClr w14:val="tx1"/>
            </w14:solidFill>
          </w14:textFill>
        </w:rPr>
      </w:pPr>
      <w:bookmarkStart w:id="0" w:name="_Hlk59114236"/>
    </w:p>
    <w:p>
      <w:pPr>
        <w:spacing w:line="360" w:lineRule="auto"/>
        <w:rPr>
          <w:color w:val="000000" w:themeColor="text1"/>
          <w:spacing w:val="40"/>
          <w:sz w:val="28"/>
          <w14:textFill>
            <w14:solidFill>
              <w14:schemeClr w14:val="tx1"/>
            </w14:solidFill>
          </w14:textFill>
        </w:rPr>
      </w:pPr>
    </w:p>
    <w:p>
      <w:pPr>
        <w:spacing w:line="360" w:lineRule="auto"/>
        <w:rPr>
          <w:rFonts w:ascii="Times New Roman" w:hAnsi="Times New Roman" w:eastAsia="楷体_GB2312"/>
          <w:color w:val="000000" w:themeColor="text1"/>
          <w:sz w:val="28"/>
          <w:szCs w:val="24"/>
          <w14:textFill>
            <w14:solidFill>
              <w14:schemeClr w14:val="tx1"/>
            </w14:solidFill>
          </w14:textFill>
        </w:rPr>
      </w:pPr>
    </w:p>
    <w:p>
      <w:pPr>
        <w:spacing w:line="360" w:lineRule="auto"/>
        <w:jc w:val="center"/>
        <w:rPr>
          <w:rFonts w:ascii="Times New Roman" w:hAnsi="Times New Roman" w:eastAsia="方正小标宋简体"/>
          <w:color w:val="000000" w:themeColor="text1"/>
          <w:sz w:val="44"/>
          <w:szCs w:val="44"/>
          <w14:textFill>
            <w14:solidFill>
              <w14:schemeClr w14:val="tx1"/>
            </w14:solidFill>
          </w14:textFill>
        </w:rPr>
      </w:pPr>
      <w:bookmarkStart w:id="1" w:name="_Toc24980148"/>
      <w:r>
        <w:rPr>
          <w:rFonts w:hint="eastAsia" w:ascii="Times New Roman" w:hAnsi="Times New Roman" w:eastAsia="方正小标宋简体" w:cs="Times New Roman"/>
          <w:color w:val="000000" w:themeColor="text1"/>
          <w:sz w:val="44"/>
          <w:szCs w:val="44"/>
          <w14:textFill>
            <w14:solidFill>
              <w14:schemeClr w14:val="tx1"/>
            </w14:solidFill>
          </w14:textFill>
        </w:rPr>
        <w:t>湛江经开区“数字政府”建设总体规划（2021-2025年）</w:t>
      </w:r>
    </w:p>
    <w:bookmarkEnd w:id="1"/>
    <w:p>
      <w:pPr>
        <w:spacing w:line="360" w:lineRule="auto"/>
        <w:jc w:val="center"/>
        <w:rPr>
          <w:rFonts w:ascii="Times New Roman" w:hAnsi="Times New Roman" w:eastAsia="楷体_GB2312"/>
          <w:color w:val="000000" w:themeColor="text1"/>
          <w:sz w:val="32"/>
          <w:szCs w:val="32"/>
          <w14:textFill>
            <w14:solidFill>
              <w14:schemeClr w14:val="tx1"/>
            </w14:solidFill>
          </w14:textFill>
        </w:rPr>
      </w:pPr>
      <w:r>
        <w:rPr>
          <w:rFonts w:ascii="Times New Roman" w:hAnsi="Times New Roman" w:eastAsia="楷体_GB2312" w:cs="Times New Roman"/>
          <w:color w:val="000000" w:themeColor="text1"/>
          <w:sz w:val="32"/>
          <w:szCs w:val="32"/>
          <w14:textFill>
            <w14:solidFill>
              <w14:schemeClr w14:val="tx1"/>
            </w14:solidFill>
          </w14:textFill>
        </w:rPr>
        <w:t>（</w:t>
      </w:r>
      <w:r>
        <w:rPr>
          <w:rFonts w:hint="eastAsia" w:ascii="Times New Roman" w:hAnsi="Times New Roman" w:eastAsia="楷体_GB2312" w:cs="Times New Roman"/>
          <w:color w:val="000000" w:themeColor="text1"/>
          <w:sz w:val="32"/>
          <w:szCs w:val="32"/>
          <w14:textFill>
            <w14:solidFill>
              <w14:schemeClr w14:val="tx1"/>
            </w14:solidFill>
          </w14:textFill>
        </w:rPr>
        <w:t>评审</w:t>
      </w:r>
      <w:r>
        <w:rPr>
          <w:rFonts w:ascii="Times New Roman" w:hAnsi="Times New Roman" w:eastAsia="楷体_GB2312" w:cs="Times New Roman"/>
          <w:color w:val="000000" w:themeColor="text1"/>
          <w:sz w:val="32"/>
          <w:szCs w:val="32"/>
          <w14:textFill>
            <w14:solidFill>
              <w14:schemeClr w14:val="tx1"/>
            </w14:solidFill>
          </w14:textFill>
        </w:rPr>
        <w:t>稿</w:t>
      </w:r>
      <w:r>
        <w:rPr>
          <w:rFonts w:hint="eastAsia" w:ascii="Times New Roman" w:hAnsi="Times New Roman" w:eastAsia="楷体_GB2312" w:cs="Times New Roman"/>
          <w:color w:val="000000" w:themeColor="text1"/>
          <w:sz w:val="32"/>
          <w:szCs w:val="32"/>
          <w14:textFill>
            <w14:solidFill>
              <w14:schemeClr w14:val="tx1"/>
            </w14:solidFill>
          </w14:textFill>
        </w:rPr>
        <w:t>V</w:t>
      </w:r>
      <w:r>
        <w:rPr>
          <w:rFonts w:ascii="Times New Roman" w:hAnsi="Times New Roman" w:eastAsia="楷体_GB2312" w:cs="Times New Roman"/>
          <w:color w:val="000000" w:themeColor="text1"/>
          <w:sz w:val="32"/>
          <w:szCs w:val="32"/>
          <w14:textFill>
            <w14:solidFill>
              <w14:schemeClr w14:val="tx1"/>
            </w14:solidFill>
          </w14:textFill>
        </w:rPr>
        <w:t>6）</w:t>
      </w:r>
    </w:p>
    <w:p>
      <w:pPr>
        <w:spacing w:line="360" w:lineRule="auto"/>
        <w:jc w:val="center"/>
        <w:rPr>
          <w:rFonts w:ascii="Times New Roman" w:hAnsi="Times New Roman" w:eastAsia="楷体_GB2312"/>
          <w:color w:val="000000" w:themeColor="text1"/>
          <w:sz w:val="28"/>
          <w:szCs w:val="24"/>
          <w14:textFill>
            <w14:solidFill>
              <w14:schemeClr w14:val="tx1"/>
            </w14:solidFill>
          </w14:textFill>
        </w:rPr>
      </w:pPr>
    </w:p>
    <w:p>
      <w:pPr>
        <w:spacing w:line="360" w:lineRule="auto"/>
        <w:jc w:val="center"/>
        <w:rPr>
          <w:rFonts w:ascii="Times New Roman" w:hAnsi="Times New Roman" w:eastAsia="楷体_GB2312"/>
          <w:color w:val="000000" w:themeColor="text1"/>
          <w:sz w:val="28"/>
          <w:szCs w:val="24"/>
          <w14:textFill>
            <w14:solidFill>
              <w14:schemeClr w14:val="tx1"/>
            </w14:solidFill>
          </w14:textFill>
        </w:rPr>
      </w:pPr>
    </w:p>
    <w:p>
      <w:pPr>
        <w:snapToGrid w:val="0"/>
        <w:ind w:firstLine="540" w:firstLineChars="150"/>
        <w:rPr>
          <w:color w:val="000000" w:themeColor="text1"/>
          <w:spacing w:val="40"/>
          <w:sz w:val="28"/>
          <w14:textFill>
            <w14:solidFill>
              <w14:schemeClr w14:val="tx1"/>
            </w14:solidFill>
          </w14:textFill>
        </w:rPr>
      </w:pPr>
    </w:p>
    <w:p>
      <w:pPr>
        <w:snapToGrid w:val="0"/>
        <w:ind w:firstLine="540" w:firstLineChars="150"/>
        <w:rPr>
          <w:color w:val="000000" w:themeColor="text1"/>
          <w:spacing w:val="40"/>
          <w:sz w:val="28"/>
          <w14:textFill>
            <w14:solidFill>
              <w14:schemeClr w14:val="tx1"/>
            </w14:solidFill>
          </w14:textFill>
        </w:rPr>
      </w:pPr>
    </w:p>
    <w:p>
      <w:pPr>
        <w:snapToGrid w:val="0"/>
        <w:ind w:firstLine="540" w:firstLineChars="150"/>
        <w:rPr>
          <w:color w:val="000000" w:themeColor="text1"/>
          <w:spacing w:val="40"/>
          <w:sz w:val="28"/>
          <w14:textFill>
            <w14:solidFill>
              <w14:schemeClr w14:val="tx1"/>
            </w14:solidFill>
          </w14:textFill>
        </w:rPr>
      </w:pPr>
    </w:p>
    <w:p>
      <w:pPr>
        <w:snapToGrid w:val="0"/>
        <w:ind w:firstLine="540" w:firstLineChars="150"/>
        <w:rPr>
          <w:color w:val="000000" w:themeColor="text1"/>
          <w:spacing w:val="40"/>
          <w:sz w:val="28"/>
          <w14:textFill>
            <w14:solidFill>
              <w14:schemeClr w14:val="tx1"/>
            </w14:solidFill>
          </w14:textFill>
        </w:rPr>
      </w:pPr>
    </w:p>
    <w:p>
      <w:pPr>
        <w:snapToGrid w:val="0"/>
        <w:ind w:firstLine="540" w:firstLineChars="150"/>
        <w:rPr>
          <w:color w:val="000000" w:themeColor="text1"/>
          <w:spacing w:val="40"/>
          <w:sz w:val="28"/>
          <w14:textFill>
            <w14:solidFill>
              <w14:schemeClr w14:val="tx1"/>
            </w14:solidFill>
          </w14:textFill>
        </w:rPr>
      </w:pPr>
    </w:p>
    <w:p>
      <w:pPr>
        <w:snapToGrid w:val="0"/>
        <w:ind w:firstLine="540" w:firstLineChars="150"/>
        <w:rPr>
          <w:color w:val="000000" w:themeColor="text1"/>
          <w:spacing w:val="40"/>
          <w:sz w:val="28"/>
          <w14:textFill>
            <w14:solidFill>
              <w14:schemeClr w14:val="tx1"/>
            </w14:solidFill>
          </w14:textFill>
        </w:rPr>
      </w:pPr>
    </w:p>
    <w:p>
      <w:pPr>
        <w:snapToGrid w:val="0"/>
        <w:ind w:firstLine="540" w:firstLineChars="150"/>
        <w:rPr>
          <w:color w:val="000000" w:themeColor="text1"/>
          <w:spacing w:val="40"/>
          <w:sz w:val="28"/>
          <w14:textFill>
            <w14:solidFill>
              <w14:schemeClr w14:val="tx1"/>
            </w14:solidFill>
          </w14:textFill>
        </w:rPr>
      </w:pPr>
    </w:p>
    <w:p>
      <w:pPr>
        <w:snapToGrid w:val="0"/>
        <w:ind w:firstLine="540" w:firstLineChars="150"/>
        <w:rPr>
          <w:color w:val="000000" w:themeColor="text1"/>
          <w:spacing w:val="40"/>
          <w:sz w:val="28"/>
          <w14:textFill>
            <w14:solidFill>
              <w14:schemeClr w14:val="tx1"/>
            </w14:solidFill>
          </w14:textFill>
        </w:rPr>
      </w:pPr>
    </w:p>
    <w:p>
      <w:pPr>
        <w:snapToGrid w:val="0"/>
        <w:ind w:firstLine="540" w:firstLineChars="150"/>
        <w:rPr>
          <w:color w:val="000000" w:themeColor="text1"/>
          <w:spacing w:val="40"/>
          <w:sz w:val="28"/>
          <w14:textFill>
            <w14:solidFill>
              <w14:schemeClr w14:val="tx1"/>
            </w14:solidFill>
          </w14:textFill>
        </w:rPr>
      </w:pPr>
    </w:p>
    <w:p>
      <w:pPr>
        <w:snapToGrid w:val="0"/>
        <w:ind w:firstLine="540" w:firstLineChars="150"/>
        <w:rPr>
          <w:color w:val="000000" w:themeColor="text1"/>
          <w:spacing w:val="40"/>
          <w:sz w:val="28"/>
          <w14:textFill>
            <w14:solidFill>
              <w14:schemeClr w14:val="tx1"/>
            </w14:solidFill>
          </w14:textFill>
        </w:rPr>
      </w:pPr>
    </w:p>
    <w:p>
      <w:pPr>
        <w:snapToGrid w:val="0"/>
        <w:ind w:firstLine="540" w:firstLineChars="150"/>
        <w:rPr>
          <w:color w:val="000000" w:themeColor="text1"/>
          <w:spacing w:val="40"/>
          <w:sz w:val="28"/>
          <w14:textFill>
            <w14:solidFill>
              <w14:schemeClr w14:val="tx1"/>
            </w14:solidFill>
          </w14:textFill>
        </w:rPr>
      </w:pPr>
    </w:p>
    <w:p>
      <w:pPr>
        <w:snapToGrid w:val="0"/>
        <w:ind w:firstLine="540" w:firstLineChars="150"/>
        <w:rPr>
          <w:color w:val="000000" w:themeColor="text1"/>
          <w:spacing w:val="40"/>
          <w:sz w:val="28"/>
          <w14:textFill>
            <w14:solidFill>
              <w14:schemeClr w14:val="tx1"/>
            </w14:solidFill>
          </w14:textFill>
        </w:rPr>
      </w:pPr>
    </w:p>
    <w:p>
      <w:pPr>
        <w:snapToGrid w:val="0"/>
        <w:ind w:firstLine="540" w:firstLineChars="150"/>
        <w:rPr>
          <w:color w:val="000000" w:themeColor="text1"/>
          <w:spacing w:val="40"/>
          <w:sz w:val="28"/>
          <w14:textFill>
            <w14:solidFill>
              <w14:schemeClr w14:val="tx1"/>
            </w14:solidFill>
          </w14:textFill>
        </w:rPr>
      </w:pPr>
    </w:p>
    <w:p>
      <w:pPr>
        <w:snapToGrid w:val="0"/>
        <w:ind w:firstLine="540" w:firstLineChars="150"/>
        <w:rPr>
          <w:color w:val="000000" w:themeColor="text1"/>
          <w:spacing w:val="40"/>
          <w:sz w:val="28"/>
          <w14:textFill>
            <w14:solidFill>
              <w14:schemeClr w14:val="tx1"/>
            </w14:solidFill>
          </w14:textFill>
        </w:rPr>
      </w:pPr>
    </w:p>
    <w:p>
      <w:pPr>
        <w:snapToGrid w:val="0"/>
        <w:ind w:firstLine="540" w:firstLineChars="150"/>
        <w:rPr>
          <w:color w:val="000000" w:themeColor="text1"/>
          <w:spacing w:val="40"/>
          <w:sz w:val="28"/>
          <w14:textFill>
            <w14:solidFill>
              <w14:schemeClr w14:val="tx1"/>
            </w14:solidFill>
          </w14:textFill>
        </w:rPr>
      </w:pPr>
    </w:p>
    <w:p>
      <w:pPr>
        <w:snapToGrid w:val="0"/>
        <w:ind w:firstLine="540" w:firstLineChars="150"/>
        <w:rPr>
          <w:color w:val="000000" w:themeColor="text1"/>
          <w:spacing w:val="40"/>
          <w:sz w:val="28"/>
          <w14:textFill>
            <w14:solidFill>
              <w14:schemeClr w14:val="tx1"/>
            </w14:solidFill>
          </w14:textFill>
        </w:rPr>
      </w:pPr>
    </w:p>
    <w:p>
      <w:pPr>
        <w:snapToGrid w:val="0"/>
        <w:rPr>
          <w:color w:val="000000" w:themeColor="text1"/>
          <w:spacing w:val="40"/>
          <w:sz w:val="28"/>
          <w14:textFill>
            <w14:solidFill>
              <w14:schemeClr w14:val="tx1"/>
            </w14:solidFill>
          </w14:textFill>
        </w:rPr>
      </w:pPr>
    </w:p>
    <w:p>
      <w:pPr>
        <w:spacing w:line="360" w:lineRule="auto"/>
        <w:jc w:val="center"/>
        <w:rPr>
          <w:rFonts w:ascii="Times New Roman" w:hAnsi="Times New Roman" w:eastAsia="楷体_GB2312" w:cs="Times New Roman"/>
          <w:color w:val="000000" w:themeColor="text1"/>
          <w:sz w:val="32"/>
          <w:szCs w:val="28"/>
          <w14:textFill>
            <w14:solidFill>
              <w14:schemeClr w14:val="tx1"/>
            </w14:solidFill>
          </w14:textFill>
        </w:rPr>
      </w:pPr>
      <w:r>
        <w:rPr>
          <w:rFonts w:hint="eastAsia" w:ascii="Times New Roman" w:hAnsi="Times New Roman" w:eastAsia="楷体_GB2312" w:cs="Times New Roman"/>
          <w:color w:val="000000" w:themeColor="text1"/>
          <w:sz w:val="32"/>
          <w:szCs w:val="28"/>
          <w14:textFill>
            <w14:solidFill>
              <w14:schemeClr w14:val="tx1"/>
            </w14:solidFill>
          </w14:textFill>
        </w:rPr>
        <w:t>湛江经济技术开发区管委会</w:t>
      </w:r>
    </w:p>
    <w:p>
      <w:pPr>
        <w:spacing w:line="360" w:lineRule="auto"/>
        <w:jc w:val="center"/>
        <w:rPr>
          <w:rFonts w:ascii="Times New Roman" w:hAnsi="Times New Roman" w:eastAsia="楷体_GB2312" w:cs="Times New Roman"/>
          <w:color w:val="000000" w:themeColor="text1"/>
          <w:sz w:val="32"/>
          <w:szCs w:val="28"/>
          <w14:textFill>
            <w14:solidFill>
              <w14:schemeClr w14:val="tx1"/>
            </w14:solidFill>
          </w14:textFill>
        </w:rPr>
      </w:pPr>
      <w:r>
        <w:rPr>
          <w:rFonts w:ascii="Times New Roman" w:hAnsi="Times New Roman" w:eastAsia="楷体_GB2312" w:cs="Times New Roman"/>
          <w:color w:val="000000" w:themeColor="text1"/>
          <w:sz w:val="32"/>
          <w:szCs w:val="28"/>
          <w14:textFill>
            <w14:solidFill>
              <w14:schemeClr w14:val="tx1"/>
            </w14:solidFill>
          </w14:textFill>
        </w:rPr>
        <w:t>2021年5月</w:t>
      </w:r>
    </w:p>
    <w:p>
      <w:pPr>
        <w:spacing w:line="360" w:lineRule="auto"/>
        <w:jc w:val="center"/>
        <w:rPr>
          <w:rFonts w:ascii="Times New Roman" w:hAnsi="Times New Roman" w:eastAsia="楷体_GB2312" w:cs="Times New Roman"/>
          <w:color w:val="000000" w:themeColor="text1"/>
          <w:sz w:val="32"/>
          <w:szCs w:val="28"/>
          <w14:textFill>
            <w14:solidFill>
              <w14:schemeClr w14:val="tx1"/>
            </w14:solidFill>
          </w14:textFill>
        </w:rPr>
      </w:pPr>
    </w:p>
    <w:p>
      <w:pPr>
        <w:jc w:val="center"/>
        <w:rPr>
          <w:rFonts w:ascii="Times New Roman" w:hAnsi="Times New Roman" w:eastAsia="仿宋_GB2312" w:cs="Times New Roman"/>
          <w:b/>
          <w:spacing w:val="60"/>
          <w:sz w:val="28"/>
          <w:szCs w:val="28"/>
        </w:rPr>
      </w:pPr>
    </w:p>
    <w:p>
      <w:pPr>
        <w:jc w:val="center"/>
        <w:rPr>
          <w:rFonts w:ascii="Times New Roman" w:hAnsi="Times New Roman" w:eastAsia="仿宋_GB2312" w:cs="Times New Roman"/>
          <w:b/>
          <w:spacing w:val="60"/>
          <w:sz w:val="28"/>
          <w:szCs w:val="28"/>
        </w:rPr>
        <w:sectPr>
          <w:footerReference r:id="rId3" w:type="default"/>
          <w:pgSz w:w="11906" w:h="16838"/>
          <w:pgMar w:top="1440" w:right="1800" w:bottom="1440" w:left="1800" w:header="851" w:footer="992" w:gutter="0"/>
          <w:pgNumType w:fmt="upperRoman" w:start="1"/>
          <w:cols w:space="425" w:num="1"/>
          <w:titlePg/>
          <w:docGrid w:type="lines" w:linePitch="312" w:charSpace="0"/>
        </w:sectPr>
      </w:pPr>
    </w:p>
    <w:p>
      <w:pPr>
        <w:jc w:val="center"/>
        <w:rPr>
          <w:rFonts w:ascii="Times New Roman" w:hAnsi="Times New Roman" w:eastAsia="仿宋_GB2312" w:cs="Times New Roman"/>
          <w:b/>
          <w:spacing w:val="60"/>
          <w:sz w:val="28"/>
          <w:szCs w:val="28"/>
        </w:rPr>
        <w:sectPr>
          <w:pgSz w:w="11906" w:h="16838"/>
          <w:pgMar w:top="1440" w:right="1800" w:bottom="1440" w:left="1800" w:header="851" w:footer="992" w:gutter="0"/>
          <w:pgNumType w:fmt="upperRoman" w:start="1"/>
          <w:cols w:space="425" w:num="1"/>
          <w:titlePg/>
          <w:docGrid w:type="lines" w:linePitch="312" w:charSpace="0"/>
        </w:sectPr>
      </w:pPr>
    </w:p>
    <w:bookmarkEnd w:id="0"/>
    <w:sdt>
      <w:sdtPr>
        <w:rPr>
          <w:rFonts w:asciiTheme="minorHAnsi" w:hAnsiTheme="minorHAnsi" w:eastAsiaTheme="minorEastAsia" w:cstheme="minorBidi"/>
          <w:color w:val="000000" w:themeColor="text1"/>
          <w:kern w:val="2"/>
          <w:sz w:val="21"/>
          <w:szCs w:val="22"/>
          <w:lang w:val="zh-CN"/>
          <w14:textFill>
            <w14:solidFill>
              <w14:schemeClr w14:val="tx1"/>
            </w14:solidFill>
          </w14:textFill>
        </w:rPr>
        <w:id w:val="1862863632"/>
        <w:docPartObj>
          <w:docPartGallery w:val="Table of Contents"/>
          <w:docPartUnique/>
        </w:docPartObj>
      </w:sdtPr>
      <w:sdtEndPr>
        <w:rPr>
          <w:rFonts w:ascii="楷体_GB2312" w:hAnsi="黑体" w:eastAsia="楷体_GB2312" w:cs="仿宋_GB2312"/>
          <w:b/>
          <w:bCs/>
          <w:color w:val="000000" w:themeColor="text1"/>
          <w:kern w:val="0"/>
          <w:sz w:val="28"/>
          <w:szCs w:val="28"/>
          <w:lang w:val="zh-CN"/>
          <w14:textFill>
            <w14:solidFill>
              <w14:schemeClr w14:val="tx1"/>
            </w14:solidFill>
          </w14:textFill>
        </w:rPr>
      </w:sdtEndPr>
      <w:sdtContent>
        <w:p>
          <w:pPr>
            <w:pStyle w:val="58"/>
            <w:jc w:val="center"/>
            <w:rPr>
              <w:rFonts w:ascii="宋体" w:hAnsi="宋体" w:eastAsia="宋体"/>
              <w:b/>
              <w:color w:val="000000" w:themeColor="text1"/>
              <w:sz w:val="44"/>
              <w14:textFill>
                <w14:solidFill>
                  <w14:schemeClr w14:val="tx1"/>
                </w14:solidFill>
              </w14:textFill>
            </w:rPr>
          </w:pPr>
          <w:r>
            <w:rPr>
              <w:rFonts w:ascii="宋体" w:hAnsi="宋体" w:eastAsia="宋体"/>
              <w:b/>
              <w:color w:val="000000" w:themeColor="text1"/>
              <w:sz w:val="44"/>
              <w:lang w:val="zh-CN"/>
              <w14:textFill>
                <w14:solidFill>
                  <w14:schemeClr w14:val="tx1"/>
                </w14:solidFill>
              </w14:textFill>
            </w:rPr>
            <w:t>目录</w:t>
          </w:r>
        </w:p>
        <w:p>
          <w:pPr>
            <w:pStyle w:val="20"/>
            <w:rPr>
              <w:rFonts w:cstheme="minorBidi"/>
              <w:kern w:val="2"/>
              <w:sz w:val="28"/>
              <w:szCs w:val="28"/>
            </w:rPr>
          </w:pPr>
          <w:r>
            <w:rPr>
              <w:rFonts w:ascii="宋体" w:hAnsi="宋体" w:eastAsia="宋体"/>
              <w:b/>
              <w:bCs/>
              <w:color w:val="000000" w:themeColor="text1"/>
              <w:sz w:val="28"/>
              <w:szCs w:val="28"/>
              <w:lang w:val="zh-CN"/>
              <w14:textFill>
                <w14:solidFill>
                  <w14:schemeClr w14:val="tx1"/>
                </w14:solidFill>
              </w14:textFill>
            </w:rPr>
            <w:fldChar w:fldCharType="begin"/>
          </w:r>
          <w:r>
            <w:rPr>
              <w:rFonts w:ascii="宋体" w:hAnsi="宋体" w:eastAsia="宋体"/>
              <w:b/>
              <w:bCs/>
              <w:color w:val="000000" w:themeColor="text1"/>
              <w:sz w:val="28"/>
              <w:szCs w:val="28"/>
              <w:lang w:val="zh-CN"/>
              <w14:textFill>
                <w14:solidFill>
                  <w14:schemeClr w14:val="tx1"/>
                </w14:solidFill>
              </w14:textFill>
            </w:rPr>
            <w:instrText xml:space="preserve"> TOC \o "1-3" \h \z \u </w:instrText>
          </w:r>
          <w:r>
            <w:rPr>
              <w:rFonts w:ascii="宋体" w:hAnsi="宋体" w:eastAsia="宋体"/>
              <w:b/>
              <w:bCs/>
              <w:color w:val="000000" w:themeColor="text1"/>
              <w:sz w:val="28"/>
              <w:szCs w:val="28"/>
              <w:lang w:val="zh-CN"/>
              <w14:textFill>
                <w14:solidFill>
                  <w14:schemeClr w14:val="tx1"/>
                </w14:solidFill>
              </w14:textFill>
            </w:rPr>
            <w:fldChar w:fldCharType="separate"/>
          </w:r>
          <w:r>
            <w:fldChar w:fldCharType="begin"/>
          </w:r>
          <w:r>
            <w:instrText xml:space="preserve"> HYPERLINK \l "_Toc75790471" </w:instrText>
          </w:r>
          <w:r>
            <w:fldChar w:fldCharType="separate"/>
          </w:r>
          <w:r>
            <w:rPr>
              <w:rStyle w:val="34"/>
              <w:rFonts w:hint="eastAsia" w:ascii="Times New Roman" w:hAnsi="Times New Roman" w:eastAsia="黑体"/>
              <w:kern w:val="44"/>
              <w:sz w:val="28"/>
              <w:szCs w:val="28"/>
            </w:rPr>
            <w:t>前</w:t>
          </w:r>
          <w:r>
            <w:rPr>
              <w:rStyle w:val="34"/>
              <w:rFonts w:ascii="Times New Roman" w:hAnsi="Times New Roman" w:eastAsia="黑体"/>
              <w:kern w:val="44"/>
              <w:sz w:val="28"/>
              <w:szCs w:val="28"/>
            </w:rPr>
            <w:t xml:space="preserve"> </w:t>
          </w:r>
          <w:r>
            <w:rPr>
              <w:rStyle w:val="34"/>
              <w:rFonts w:hint="eastAsia" w:ascii="Times New Roman" w:hAnsi="Times New Roman" w:eastAsia="黑体"/>
              <w:kern w:val="44"/>
              <w:sz w:val="28"/>
              <w:szCs w:val="28"/>
            </w:rPr>
            <w:t>言</w:t>
          </w:r>
          <w:r>
            <w:rPr>
              <w:sz w:val="28"/>
              <w:szCs w:val="28"/>
            </w:rPr>
            <w:tab/>
          </w:r>
          <w:r>
            <w:rPr>
              <w:sz w:val="28"/>
              <w:szCs w:val="28"/>
            </w:rPr>
            <w:fldChar w:fldCharType="begin"/>
          </w:r>
          <w:r>
            <w:rPr>
              <w:sz w:val="28"/>
              <w:szCs w:val="28"/>
            </w:rPr>
            <w:instrText xml:space="preserve"> PAGEREF _Toc75790471 \h </w:instrText>
          </w:r>
          <w:r>
            <w:rPr>
              <w:sz w:val="28"/>
              <w:szCs w:val="28"/>
            </w:rPr>
            <w:fldChar w:fldCharType="separate"/>
          </w:r>
          <w:r>
            <w:rPr>
              <w:sz w:val="28"/>
              <w:szCs w:val="28"/>
            </w:rPr>
            <w:t>1</w:t>
          </w:r>
          <w:r>
            <w:rPr>
              <w:sz w:val="28"/>
              <w:szCs w:val="28"/>
            </w:rPr>
            <w:fldChar w:fldCharType="end"/>
          </w:r>
          <w:r>
            <w:rPr>
              <w:sz w:val="28"/>
              <w:szCs w:val="28"/>
            </w:rPr>
            <w:fldChar w:fldCharType="end"/>
          </w:r>
        </w:p>
        <w:p>
          <w:pPr>
            <w:pStyle w:val="20"/>
            <w:rPr>
              <w:rFonts w:cstheme="minorBidi"/>
              <w:kern w:val="2"/>
              <w:sz w:val="28"/>
              <w:szCs w:val="28"/>
            </w:rPr>
          </w:pPr>
          <w:r>
            <w:fldChar w:fldCharType="begin"/>
          </w:r>
          <w:r>
            <w:instrText xml:space="preserve"> HYPERLINK \l "_Toc75790472" </w:instrText>
          </w:r>
          <w:r>
            <w:fldChar w:fldCharType="separate"/>
          </w:r>
          <w:r>
            <w:rPr>
              <w:rStyle w:val="34"/>
              <w:rFonts w:ascii="黑体" w:hAnsi="黑体" w:eastAsia="黑体" w:cs="宋体"/>
              <w:sz w:val="28"/>
              <w:szCs w:val="28"/>
            </w:rPr>
            <w:t>一、发展基础与机遇</w:t>
          </w:r>
          <w:r>
            <w:rPr>
              <w:sz w:val="28"/>
              <w:szCs w:val="28"/>
            </w:rPr>
            <w:tab/>
          </w:r>
          <w:r>
            <w:rPr>
              <w:sz w:val="28"/>
              <w:szCs w:val="28"/>
            </w:rPr>
            <w:fldChar w:fldCharType="begin"/>
          </w:r>
          <w:r>
            <w:rPr>
              <w:sz w:val="28"/>
              <w:szCs w:val="28"/>
            </w:rPr>
            <w:instrText xml:space="preserve"> PAGEREF _Toc75790472 \h </w:instrText>
          </w:r>
          <w:r>
            <w:rPr>
              <w:sz w:val="28"/>
              <w:szCs w:val="28"/>
            </w:rPr>
            <w:fldChar w:fldCharType="separate"/>
          </w:r>
          <w:r>
            <w:rPr>
              <w:sz w:val="28"/>
              <w:szCs w:val="28"/>
            </w:rPr>
            <w:t>3</w:t>
          </w:r>
          <w:r>
            <w:rPr>
              <w:sz w:val="28"/>
              <w:szCs w:val="28"/>
            </w:rPr>
            <w:fldChar w:fldCharType="end"/>
          </w:r>
          <w:r>
            <w:rPr>
              <w:sz w:val="28"/>
              <w:szCs w:val="28"/>
            </w:rPr>
            <w:fldChar w:fldCharType="end"/>
          </w:r>
        </w:p>
        <w:p>
          <w:pPr>
            <w:pStyle w:val="24"/>
            <w:rPr>
              <w:rFonts w:asciiTheme="minorHAnsi" w:hAnsiTheme="minorHAnsi" w:eastAsiaTheme="minorEastAsia" w:cstheme="minorBidi"/>
              <w:color w:val="auto"/>
              <w:kern w:val="2"/>
            </w:rPr>
          </w:pPr>
          <w:r>
            <w:fldChar w:fldCharType="begin"/>
          </w:r>
          <w:r>
            <w:instrText xml:space="preserve"> HYPERLINK \l "_Toc75790473" </w:instrText>
          </w:r>
          <w:r>
            <w:fldChar w:fldCharType="separate"/>
          </w:r>
          <w:r>
            <w:rPr>
              <w:rStyle w:val="34"/>
            </w:rPr>
            <w:t>（一）发展基础</w:t>
          </w:r>
          <w:r>
            <w:tab/>
          </w:r>
          <w:r>
            <w:fldChar w:fldCharType="begin"/>
          </w:r>
          <w:r>
            <w:instrText xml:space="preserve"> PAGEREF _Toc75790473 \h </w:instrText>
          </w:r>
          <w:r>
            <w:fldChar w:fldCharType="separate"/>
          </w:r>
          <w:r>
            <w:t>3</w:t>
          </w:r>
          <w:r>
            <w:fldChar w:fldCharType="end"/>
          </w:r>
          <w:r>
            <w:fldChar w:fldCharType="end"/>
          </w:r>
        </w:p>
        <w:p>
          <w:pPr>
            <w:pStyle w:val="24"/>
            <w:rPr>
              <w:rFonts w:asciiTheme="minorHAnsi" w:hAnsiTheme="minorHAnsi" w:eastAsiaTheme="minorEastAsia" w:cstheme="minorBidi"/>
              <w:color w:val="auto"/>
              <w:kern w:val="2"/>
            </w:rPr>
          </w:pPr>
          <w:r>
            <w:fldChar w:fldCharType="begin"/>
          </w:r>
          <w:r>
            <w:instrText xml:space="preserve"> HYPERLINK \l "_Toc75790476" </w:instrText>
          </w:r>
          <w:r>
            <w:fldChar w:fldCharType="separate"/>
          </w:r>
          <w:r>
            <w:rPr>
              <w:rStyle w:val="34"/>
            </w:rPr>
            <w:t>（二）问题挑战</w:t>
          </w:r>
          <w:r>
            <w:tab/>
          </w:r>
          <w:r>
            <w:fldChar w:fldCharType="begin"/>
          </w:r>
          <w:r>
            <w:instrText xml:space="preserve"> PAGEREF _Toc75790476 \h </w:instrText>
          </w:r>
          <w:r>
            <w:fldChar w:fldCharType="separate"/>
          </w:r>
          <w:r>
            <w:t>6</w:t>
          </w:r>
          <w:r>
            <w:fldChar w:fldCharType="end"/>
          </w:r>
          <w:r>
            <w:fldChar w:fldCharType="end"/>
          </w:r>
        </w:p>
        <w:p>
          <w:pPr>
            <w:pStyle w:val="24"/>
            <w:rPr>
              <w:rFonts w:asciiTheme="minorHAnsi" w:hAnsiTheme="minorHAnsi" w:eastAsiaTheme="minorEastAsia" w:cstheme="minorBidi"/>
              <w:color w:val="auto"/>
              <w:kern w:val="2"/>
            </w:rPr>
          </w:pPr>
          <w:r>
            <w:fldChar w:fldCharType="begin"/>
          </w:r>
          <w:r>
            <w:instrText xml:space="preserve"> HYPERLINK \l "_Toc75790482" </w:instrText>
          </w:r>
          <w:r>
            <w:fldChar w:fldCharType="separate"/>
          </w:r>
          <w:r>
            <w:rPr>
              <w:rStyle w:val="34"/>
            </w:rPr>
            <w:t>（三）发展机遇</w:t>
          </w:r>
          <w:r>
            <w:tab/>
          </w:r>
          <w:r>
            <w:fldChar w:fldCharType="begin"/>
          </w:r>
          <w:r>
            <w:instrText xml:space="preserve"> PAGEREF _Toc75790482 \h </w:instrText>
          </w:r>
          <w:r>
            <w:fldChar w:fldCharType="separate"/>
          </w:r>
          <w:r>
            <w:t>8</w:t>
          </w:r>
          <w:r>
            <w:fldChar w:fldCharType="end"/>
          </w:r>
          <w:r>
            <w:fldChar w:fldCharType="end"/>
          </w:r>
        </w:p>
        <w:p>
          <w:pPr>
            <w:pStyle w:val="20"/>
            <w:rPr>
              <w:rFonts w:cstheme="minorBidi"/>
              <w:kern w:val="2"/>
              <w:sz w:val="28"/>
              <w:szCs w:val="28"/>
            </w:rPr>
          </w:pPr>
          <w:r>
            <w:fldChar w:fldCharType="begin"/>
          </w:r>
          <w:r>
            <w:instrText xml:space="preserve"> HYPERLINK \l "_Toc75790487" </w:instrText>
          </w:r>
          <w:r>
            <w:fldChar w:fldCharType="separate"/>
          </w:r>
          <w:r>
            <w:rPr>
              <w:rStyle w:val="34"/>
              <w:rFonts w:ascii="Times New Roman" w:hAnsi="黑体" w:eastAsia="黑体"/>
              <w:kern w:val="44"/>
              <w:sz w:val="28"/>
              <w:szCs w:val="28"/>
              <w:lang w:val="zh-CN"/>
            </w:rPr>
            <w:t>二、总体要求</w:t>
          </w:r>
          <w:r>
            <w:rPr>
              <w:sz w:val="28"/>
              <w:szCs w:val="28"/>
            </w:rPr>
            <w:tab/>
          </w:r>
          <w:r>
            <w:rPr>
              <w:sz w:val="28"/>
              <w:szCs w:val="28"/>
            </w:rPr>
            <w:fldChar w:fldCharType="begin"/>
          </w:r>
          <w:r>
            <w:rPr>
              <w:sz w:val="28"/>
              <w:szCs w:val="28"/>
            </w:rPr>
            <w:instrText xml:space="preserve"> PAGEREF _Toc75790487 \h </w:instrText>
          </w:r>
          <w:r>
            <w:rPr>
              <w:sz w:val="28"/>
              <w:szCs w:val="28"/>
            </w:rPr>
            <w:fldChar w:fldCharType="separate"/>
          </w:r>
          <w:r>
            <w:rPr>
              <w:sz w:val="28"/>
              <w:szCs w:val="28"/>
            </w:rPr>
            <w:t>10</w:t>
          </w:r>
          <w:r>
            <w:rPr>
              <w:sz w:val="28"/>
              <w:szCs w:val="28"/>
            </w:rPr>
            <w:fldChar w:fldCharType="end"/>
          </w:r>
          <w:r>
            <w:rPr>
              <w:sz w:val="28"/>
              <w:szCs w:val="28"/>
            </w:rPr>
            <w:fldChar w:fldCharType="end"/>
          </w:r>
        </w:p>
        <w:p>
          <w:pPr>
            <w:pStyle w:val="24"/>
            <w:rPr>
              <w:rFonts w:asciiTheme="minorHAnsi" w:hAnsiTheme="minorHAnsi" w:eastAsiaTheme="minorEastAsia" w:cstheme="minorBidi"/>
              <w:color w:val="auto"/>
              <w:kern w:val="2"/>
            </w:rPr>
          </w:pPr>
          <w:r>
            <w:fldChar w:fldCharType="begin"/>
          </w:r>
          <w:r>
            <w:instrText xml:space="preserve"> HYPERLINK \l "_Toc75790488" </w:instrText>
          </w:r>
          <w:r>
            <w:fldChar w:fldCharType="separate"/>
          </w:r>
          <w:r>
            <w:rPr>
              <w:rStyle w:val="34"/>
            </w:rPr>
            <w:t>（一）指导思想</w:t>
          </w:r>
          <w:r>
            <w:tab/>
          </w:r>
          <w:r>
            <w:fldChar w:fldCharType="begin"/>
          </w:r>
          <w:r>
            <w:instrText xml:space="preserve"> PAGEREF _Toc75790488 \h </w:instrText>
          </w:r>
          <w:r>
            <w:fldChar w:fldCharType="separate"/>
          </w:r>
          <w:r>
            <w:t>10</w:t>
          </w:r>
          <w:r>
            <w:fldChar w:fldCharType="end"/>
          </w:r>
          <w:r>
            <w:fldChar w:fldCharType="end"/>
          </w:r>
        </w:p>
        <w:p>
          <w:pPr>
            <w:pStyle w:val="24"/>
            <w:rPr>
              <w:rFonts w:asciiTheme="minorHAnsi" w:hAnsiTheme="minorHAnsi" w:eastAsiaTheme="minorEastAsia" w:cstheme="minorBidi"/>
              <w:color w:val="auto"/>
              <w:kern w:val="2"/>
            </w:rPr>
          </w:pPr>
          <w:r>
            <w:fldChar w:fldCharType="begin"/>
          </w:r>
          <w:r>
            <w:instrText xml:space="preserve"> HYPERLINK \l "_Toc75790489" </w:instrText>
          </w:r>
          <w:r>
            <w:fldChar w:fldCharType="separate"/>
          </w:r>
          <w:r>
            <w:rPr>
              <w:rStyle w:val="34"/>
            </w:rPr>
            <w:t>（二）愿景定位</w:t>
          </w:r>
          <w:r>
            <w:tab/>
          </w:r>
          <w:r>
            <w:fldChar w:fldCharType="begin"/>
          </w:r>
          <w:r>
            <w:instrText xml:space="preserve"> PAGEREF _Toc75790489 \h </w:instrText>
          </w:r>
          <w:r>
            <w:fldChar w:fldCharType="separate"/>
          </w:r>
          <w:r>
            <w:t>11</w:t>
          </w:r>
          <w:r>
            <w:fldChar w:fldCharType="end"/>
          </w:r>
          <w:r>
            <w:fldChar w:fldCharType="end"/>
          </w:r>
        </w:p>
        <w:p>
          <w:pPr>
            <w:pStyle w:val="24"/>
            <w:rPr>
              <w:rFonts w:asciiTheme="minorHAnsi" w:hAnsiTheme="minorHAnsi" w:eastAsiaTheme="minorEastAsia" w:cstheme="minorBidi"/>
              <w:color w:val="auto"/>
              <w:kern w:val="2"/>
            </w:rPr>
          </w:pPr>
          <w:r>
            <w:fldChar w:fldCharType="begin"/>
          </w:r>
          <w:r>
            <w:instrText xml:space="preserve"> HYPERLINK \l "_Toc75790490" </w:instrText>
          </w:r>
          <w:r>
            <w:fldChar w:fldCharType="separate"/>
          </w:r>
          <w:r>
            <w:rPr>
              <w:rStyle w:val="34"/>
            </w:rPr>
            <w:t>（三）规划目标</w:t>
          </w:r>
          <w:r>
            <w:tab/>
          </w:r>
          <w:r>
            <w:fldChar w:fldCharType="begin"/>
          </w:r>
          <w:r>
            <w:instrText xml:space="preserve"> PAGEREF _Toc75790490 \h </w:instrText>
          </w:r>
          <w:r>
            <w:fldChar w:fldCharType="separate"/>
          </w:r>
          <w:r>
            <w:t>13</w:t>
          </w:r>
          <w:r>
            <w:fldChar w:fldCharType="end"/>
          </w:r>
          <w:r>
            <w:fldChar w:fldCharType="end"/>
          </w:r>
        </w:p>
        <w:p>
          <w:pPr>
            <w:pStyle w:val="20"/>
            <w:rPr>
              <w:rFonts w:cstheme="minorBidi"/>
              <w:kern w:val="2"/>
              <w:sz w:val="28"/>
              <w:szCs w:val="28"/>
            </w:rPr>
          </w:pPr>
          <w:r>
            <w:fldChar w:fldCharType="begin"/>
          </w:r>
          <w:r>
            <w:instrText xml:space="preserve"> HYPERLINK \l "_Toc75790494" </w:instrText>
          </w:r>
          <w:r>
            <w:fldChar w:fldCharType="separate"/>
          </w:r>
          <w:r>
            <w:rPr>
              <w:rStyle w:val="34"/>
              <w:rFonts w:ascii="Times New Roman" w:hAnsi="黑体" w:eastAsia="黑体"/>
              <w:kern w:val="44"/>
              <w:sz w:val="28"/>
              <w:szCs w:val="28"/>
              <w:lang w:val="zh-CN"/>
            </w:rPr>
            <w:t>三、经开区数字政府建设架构</w:t>
          </w:r>
          <w:r>
            <w:rPr>
              <w:sz w:val="28"/>
              <w:szCs w:val="28"/>
            </w:rPr>
            <w:tab/>
          </w:r>
          <w:r>
            <w:rPr>
              <w:sz w:val="28"/>
              <w:szCs w:val="28"/>
            </w:rPr>
            <w:fldChar w:fldCharType="begin"/>
          </w:r>
          <w:r>
            <w:rPr>
              <w:sz w:val="28"/>
              <w:szCs w:val="28"/>
            </w:rPr>
            <w:instrText xml:space="preserve"> PAGEREF _Toc75790494 \h </w:instrText>
          </w:r>
          <w:r>
            <w:rPr>
              <w:sz w:val="28"/>
              <w:szCs w:val="28"/>
            </w:rPr>
            <w:fldChar w:fldCharType="separate"/>
          </w:r>
          <w:r>
            <w:rPr>
              <w:sz w:val="28"/>
              <w:szCs w:val="28"/>
            </w:rPr>
            <w:t>15</w:t>
          </w:r>
          <w:r>
            <w:rPr>
              <w:sz w:val="28"/>
              <w:szCs w:val="28"/>
            </w:rPr>
            <w:fldChar w:fldCharType="end"/>
          </w:r>
          <w:r>
            <w:rPr>
              <w:sz w:val="28"/>
              <w:szCs w:val="28"/>
            </w:rPr>
            <w:fldChar w:fldCharType="end"/>
          </w:r>
        </w:p>
        <w:p>
          <w:pPr>
            <w:pStyle w:val="24"/>
            <w:rPr>
              <w:rFonts w:asciiTheme="minorHAnsi" w:hAnsiTheme="minorHAnsi" w:eastAsiaTheme="minorEastAsia" w:cstheme="minorBidi"/>
              <w:color w:val="auto"/>
              <w:kern w:val="2"/>
            </w:rPr>
          </w:pPr>
          <w:r>
            <w:fldChar w:fldCharType="begin"/>
          </w:r>
          <w:r>
            <w:instrText xml:space="preserve"> HYPERLINK \l "_Toc75790495" </w:instrText>
          </w:r>
          <w:r>
            <w:fldChar w:fldCharType="separate"/>
          </w:r>
          <w:r>
            <w:rPr>
              <w:rStyle w:val="34"/>
            </w:rPr>
            <w:t>（一）总体架构</w:t>
          </w:r>
          <w:r>
            <w:tab/>
          </w:r>
          <w:r>
            <w:fldChar w:fldCharType="begin"/>
          </w:r>
          <w:r>
            <w:instrText xml:space="preserve"> PAGEREF _Toc75790495 \h </w:instrText>
          </w:r>
          <w:r>
            <w:fldChar w:fldCharType="separate"/>
          </w:r>
          <w:r>
            <w:t>15</w:t>
          </w:r>
          <w:r>
            <w:fldChar w:fldCharType="end"/>
          </w:r>
          <w:r>
            <w:fldChar w:fldCharType="end"/>
          </w:r>
        </w:p>
        <w:p>
          <w:pPr>
            <w:pStyle w:val="24"/>
            <w:rPr>
              <w:rFonts w:asciiTheme="minorHAnsi" w:hAnsiTheme="minorHAnsi" w:eastAsiaTheme="minorEastAsia" w:cstheme="minorBidi"/>
              <w:color w:val="auto"/>
              <w:kern w:val="2"/>
            </w:rPr>
          </w:pPr>
          <w:r>
            <w:fldChar w:fldCharType="begin"/>
          </w:r>
          <w:r>
            <w:instrText xml:space="preserve"> HYPERLINK \l "_Toc75790496" </w:instrText>
          </w:r>
          <w:r>
            <w:fldChar w:fldCharType="separate"/>
          </w:r>
          <w:r>
            <w:rPr>
              <w:rStyle w:val="34"/>
            </w:rPr>
            <w:t>（二）管理架构</w:t>
          </w:r>
          <w:r>
            <w:tab/>
          </w:r>
          <w:r>
            <w:fldChar w:fldCharType="begin"/>
          </w:r>
          <w:r>
            <w:instrText xml:space="preserve"> PAGEREF _Toc75790496 \h </w:instrText>
          </w:r>
          <w:r>
            <w:fldChar w:fldCharType="separate"/>
          </w:r>
          <w:r>
            <w:t>18</w:t>
          </w:r>
          <w:r>
            <w:fldChar w:fldCharType="end"/>
          </w:r>
          <w:r>
            <w:fldChar w:fldCharType="end"/>
          </w:r>
        </w:p>
        <w:p>
          <w:pPr>
            <w:pStyle w:val="24"/>
            <w:rPr>
              <w:rFonts w:asciiTheme="minorHAnsi" w:hAnsiTheme="minorHAnsi" w:eastAsiaTheme="minorEastAsia" w:cstheme="minorBidi"/>
              <w:color w:val="auto"/>
              <w:kern w:val="2"/>
            </w:rPr>
          </w:pPr>
          <w:r>
            <w:fldChar w:fldCharType="begin"/>
          </w:r>
          <w:r>
            <w:instrText xml:space="preserve"> HYPERLINK \l "_Toc75790502" </w:instrText>
          </w:r>
          <w:r>
            <w:fldChar w:fldCharType="separate"/>
          </w:r>
          <w:r>
            <w:rPr>
              <w:rStyle w:val="34"/>
            </w:rPr>
            <w:t>（三）业务架构</w:t>
          </w:r>
          <w:r>
            <w:tab/>
          </w:r>
          <w:r>
            <w:fldChar w:fldCharType="begin"/>
          </w:r>
          <w:r>
            <w:instrText xml:space="preserve"> PAGEREF _Toc75790502 \h </w:instrText>
          </w:r>
          <w:r>
            <w:fldChar w:fldCharType="separate"/>
          </w:r>
          <w:r>
            <w:t>22</w:t>
          </w:r>
          <w:r>
            <w:fldChar w:fldCharType="end"/>
          </w:r>
          <w:r>
            <w:fldChar w:fldCharType="end"/>
          </w:r>
        </w:p>
        <w:p>
          <w:pPr>
            <w:pStyle w:val="24"/>
            <w:rPr>
              <w:rFonts w:asciiTheme="minorHAnsi" w:hAnsiTheme="minorHAnsi" w:eastAsiaTheme="minorEastAsia" w:cstheme="minorBidi"/>
              <w:color w:val="auto"/>
              <w:kern w:val="2"/>
            </w:rPr>
          </w:pPr>
          <w:r>
            <w:fldChar w:fldCharType="begin"/>
          </w:r>
          <w:r>
            <w:instrText xml:space="preserve"> HYPERLINK \l "_Toc75790503" </w:instrText>
          </w:r>
          <w:r>
            <w:fldChar w:fldCharType="separate"/>
          </w:r>
          <w:r>
            <w:rPr>
              <w:rStyle w:val="34"/>
            </w:rPr>
            <w:t>（四）技术架构</w:t>
          </w:r>
          <w:r>
            <w:tab/>
          </w:r>
          <w:r>
            <w:fldChar w:fldCharType="begin"/>
          </w:r>
          <w:r>
            <w:instrText xml:space="preserve"> PAGEREF _Toc75790503 \h </w:instrText>
          </w:r>
          <w:r>
            <w:fldChar w:fldCharType="separate"/>
          </w:r>
          <w:r>
            <w:t>24</w:t>
          </w:r>
          <w:r>
            <w:fldChar w:fldCharType="end"/>
          </w:r>
          <w:r>
            <w:fldChar w:fldCharType="end"/>
          </w:r>
        </w:p>
        <w:p>
          <w:pPr>
            <w:pStyle w:val="24"/>
            <w:rPr>
              <w:rFonts w:asciiTheme="minorHAnsi" w:hAnsiTheme="minorHAnsi" w:eastAsiaTheme="minorEastAsia" w:cstheme="minorBidi"/>
              <w:color w:val="auto"/>
              <w:kern w:val="2"/>
            </w:rPr>
          </w:pPr>
          <w:r>
            <w:fldChar w:fldCharType="begin"/>
          </w:r>
          <w:r>
            <w:instrText xml:space="preserve"> HYPERLINK \l "_Toc75790511" </w:instrText>
          </w:r>
          <w:r>
            <w:fldChar w:fldCharType="separate"/>
          </w:r>
          <w:r>
            <w:rPr>
              <w:rStyle w:val="34"/>
            </w:rPr>
            <w:t>（五）“一网统管”部署架构</w:t>
          </w:r>
          <w:r>
            <w:tab/>
          </w:r>
          <w:r>
            <w:fldChar w:fldCharType="begin"/>
          </w:r>
          <w:r>
            <w:instrText xml:space="preserve"> PAGEREF _Toc75790511 \h </w:instrText>
          </w:r>
          <w:r>
            <w:fldChar w:fldCharType="separate"/>
          </w:r>
          <w:r>
            <w:t>28</w:t>
          </w:r>
          <w:r>
            <w:fldChar w:fldCharType="end"/>
          </w:r>
          <w:r>
            <w:fldChar w:fldCharType="end"/>
          </w:r>
        </w:p>
        <w:p>
          <w:pPr>
            <w:pStyle w:val="20"/>
            <w:rPr>
              <w:rFonts w:cstheme="minorBidi"/>
              <w:kern w:val="2"/>
              <w:sz w:val="28"/>
              <w:szCs w:val="28"/>
            </w:rPr>
          </w:pPr>
          <w:r>
            <w:fldChar w:fldCharType="begin"/>
          </w:r>
          <w:r>
            <w:instrText xml:space="preserve"> HYPERLINK \l "_Toc75790512" </w:instrText>
          </w:r>
          <w:r>
            <w:fldChar w:fldCharType="separate"/>
          </w:r>
          <w:r>
            <w:rPr>
              <w:rStyle w:val="34"/>
              <w:rFonts w:ascii="Times New Roman" w:hAnsi="黑体" w:eastAsia="黑体"/>
              <w:kern w:val="44"/>
              <w:sz w:val="28"/>
              <w:szCs w:val="28"/>
              <w:lang w:val="zh-CN"/>
            </w:rPr>
            <w:t>四、建设集约先进的基础设施</w:t>
          </w:r>
          <w:r>
            <w:rPr>
              <w:sz w:val="28"/>
              <w:szCs w:val="28"/>
            </w:rPr>
            <w:tab/>
          </w:r>
          <w:r>
            <w:rPr>
              <w:sz w:val="28"/>
              <w:szCs w:val="28"/>
            </w:rPr>
            <w:fldChar w:fldCharType="begin"/>
          </w:r>
          <w:r>
            <w:rPr>
              <w:sz w:val="28"/>
              <w:szCs w:val="28"/>
            </w:rPr>
            <w:instrText xml:space="preserve"> PAGEREF _Toc75790512 \h </w:instrText>
          </w:r>
          <w:r>
            <w:rPr>
              <w:sz w:val="28"/>
              <w:szCs w:val="28"/>
            </w:rPr>
            <w:fldChar w:fldCharType="separate"/>
          </w:r>
          <w:r>
            <w:rPr>
              <w:sz w:val="28"/>
              <w:szCs w:val="28"/>
            </w:rPr>
            <w:t>30</w:t>
          </w:r>
          <w:r>
            <w:rPr>
              <w:sz w:val="28"/>
              <w:szCs w:val="28"/>
            </w:rPr>
            <w:fldChar w:fldCharType="end"/>
          </w:r>
          <w:r>
            <w:rPr>
              <w:sz w:val="28"/>
              <w:szCs w:val="28"/>
            </w:rPr>
            <w:fldChar w:fldCharType="end"/>
          </w:r>
        </w:p>
        <w:p>
          <w:pPr>
            <w:pStyle w:val="24"/>
            <w:rPr>
              <w:rFonts w:asciiTheme="minorHAnsi" w:hAnsiTheme="minorHAnsi" w:eastAsiaTheme="minorEastAsia" w:cstheme="minorBidi"/>
              <w:color w:val="auto"/>
              <w:kern w:val="2"/>
            </w:rPr>
          </w:pPr>
          <w:r>
            <w:fldChar w:fldCharType="begin"/>
          </w:r>
          <w:r>
            <w:instrText xml:space="preserve"> HYPERLINK \l "_Toc75790513" </w:instrText>
          </w:r>
          <w:r>
            <w:fldChar w:fldCharType="separate"/>
          </w:r>
          <w:r>
            <w:rPr>
              <w:rStyle w:val="34"/>
            </w:rPr>
            <w:t>（一）实施经开区全域感知</w:t>
          </w:r>
          <w:r>
            <w:tab/>
          </w:r>
          <w:r>
            <w:fldChar w:fldCharType="begin"/>
          </w:r>
          <w:r>
            <w:instrText xml:space="preserve"> PAGEREF _Toc75790513 \h </w:instrText>
          </w:r>
          <w:r>
            <w:fldChar w:fldCharType="separate"/>
          </w:r>
          <w:r>
            <w:t>30</w:t>
          </w:r>
          <w:r>
            <w:fldChar w:fldCharType="end"/>
          </w:r>
          <w:r>
            <w:fldChar w:fldCharType="end"/>
          </w:r>
        </w:p>
        <w:p>
          <w:pPr>
            <w:pStyle w:val="24"/>
            <w:rPr>
              <w:rFonts w:asciiTheme="minorHAnsi" w:hAnsiTheme="minorHAnsi" w:eastAsiaTheme="minorEastAsia" w:cstheme="minorBidi"/>
              <w:color w:val="auto"/>
              <w:kern w:val="2"/>
            </w:rPr>
          </w:pPr>
          <w:r>
            <w:fldChar w:fldCharType="begin"/>
          </w:r>
          <w:r>
            <w:instrText xml:space="preserve"> HYPERLINK \l "_Toc75790516" </w:instrText>
          </w:r>
          <w:r>
            <w:fldChar w:fldCharType="separate"/>
          </w:r>
          <w:r>
            <w:rPr>
              <w:rStyle w:val="34"/>
            </w:rPr>
            <w:t>（二）实施政务网络升级改造</w:t>
          </w:r>
          <w:r>
            <w:tab/>
          </w:r>
          <w:r>
            <w:fldChar w:fldCharType="begin"/>
          </w:r>
          <w:r>
            <w:instrText xml:space="preserve"> PAGEREF _Toc75790516 \h </w:instrText>
          </w:r>
          <w:r>
            <w:fldChar w:fldCharType="separate"/>
          </w:r>
          <w:r>
            <w:t>31</w:t>
          </w:r>
          <w:r>
            <w:fldChar w:fldCharType="end"/>
          </w:r>
          <w:r>
            <w:fldChar w:fldCharType="end"/>
          </w:r>
        </w:p>
        <w:p>
          <w:pPr>
            <w:pStyle w:val="24"/>
            <w:rPr>
              <w:rFonts w:asciiTheme="minorHAnsi" w:hAnsiTheme="minorHAnsi" w:eastAsiaTheme="minorEastAsia" w:cstheme="minorBidi"/>
              <w:color w:val="auto"/>
              <w:kern w:val="2"/>
            </w:rPr>
          </w:pPr>
          <w:r>
            <w:fldChar w:fldCharType="begin"/>
          </w:r>
          <w:r>
            <w:instrText xml:space="preserve"> HYPERLINK \l "_Toc75790520" </w:instrText>
          </w:r>
          <w:r>
            <w:fldChar w:fldCharType="separate"/>
          </w:r>
          <w:r>
            <w:rPr>
              <w:rStyle w:val="34"/>
            </w:rPr>
            <w:t>（三）提升云上经开服务</w:t>
          </w:r>
          <w:r>
            <w:tab/>
          </w:r>
          <w:r>
            <w:fldChar w:fldCharType="begin"/>
          </w:r>
          <w:r>
            <w:instrText xml:space="preserve"> PAGEREF _Toc75790520 \h </w:instrText>
          </w:r>
          <w:r>
            <w:fldChar w:fldCharType="separate"/>
          </w:r>
          <w:r>
            <w:t>32</w:t>
          </w:r>
          <w:r>
            <w:fldChar w:fldCharType="end"/>
          </w:r>
          <w:r>
            <w:fldChar w:fldCharType="end"/>
          </w:r>
        </w:p>
        <w:p>
          <w:pPr>
            <w:pStyle w:val="20"/>
            <w:rPr>
              <w:rFonts w:cstheme="minorBidi"/>
              <w:kern w:val="2"/>
              <w:sz w:val="28"/>
              <w:szCs w:val="28"/>
            </w:rPr>
          </w:pPr>
          <w:r>
            <w:fldChar w:fldCharType="begin"/>
          </w:r>
          <w:r>
            <w:instrText xml:space="preserve"> HYPERLINK \l "_Toc75790521" </w:instrText>
          </w:r>
          <w:r>
            <w:fldChar w:fldCharType="separate"/>
          </w:r>
          <w:r>
            <w:rPr>
              <w:rStyle w:val="34"/>
              <w:rFonts w:ascii="Times New Roman" w:hAnsi="黑体" w:eastAsia="黑体"/>
              <w:kern w:val="44"/>
              <w:sz w:val="28"/>
              <w:szCs w:val="28"/>
              <w:lang w:val="zh-CN"/>
            </w:rPr>
            <w:t>五、打造智能交互的数智大脑</w:t>
          </w:r>
          <w:r>
            <w:rPr>
              <w:sz w:val="28"/>
              <w:szCs w:val="28"/>
            </w:rPr>
            <w:tab/>
          </w:r>
          <w:r>
            <w:rPr>
              <w:sz w:val="28"/>
              <w:szCs w:val="28"/>
            </w:rPr>
            <w:fldChar w:fldCharType="begin"/>
          </w:r>
          <w:r>
            <w:rPr>
              <w:sz w:val="28"/>
              <w:szCs w:val="28"/>
            </w:rPr>
            <w:instrText xml:space="preserve"> PAGEREF _Toc75790521 \h </w:instrText>
          </w:r>
          <w:r>
            <w:rPr>
              <w:sz w:val="28"/>
              <w:szCs w:val="28"/>
            </w:rPr>
            <w:fldChar w:fldCharType="separate"/>
          </w:r>
          <w:r>
            <w:rPr>
              <w:sz w:val="28"/>
              <w:szCs w:val="28"/>
            </w:rPr>
            <w:t>33</w:t>
          </w:r>
          <w:r>
            <w:rPr>
              <w:sz w:val="28"/>
              <w:szCs w:val="28"/>
            </w:rPr>
            <w:fldChar w:fldCharType="end"/>
          </w:r>
          <w:r>
            <w:rPr>
              <w:sz w:val="28"/>
              <w:szCs w:val="28"/>
            </w:rPr>
            <w:fldChar w:fldCharType="end"/>
          </w:r>
        </w:p>
        <w:p>
          <w:pPr>
            <w:pStyle w:val="24"/>
            <w:rPr>
              <w:rFonts w:asciiTheme="minorHAnsi" w:hAnsiTheme="minorHAnsi" w:eastAsiaTheme="minorEastAsia" w:cstheme="minorBidi"/>
              <w:color w:val="auto"/>
              <w:kern w:val="2"/>
            </w:rPr>
          </w:pPr>
          <w:r>
            <w:fldChar w:fldCharType="begin"/>
          </w:r>
          <w:r>
            <w:instrText xml:space="preserve"> HYPERLINK \l "_Toc75790522" </w:instrText>
          </w:r>
          <w:r>
            <w:fldChar w:fldCharType="separate"/>
          </w:r>
          <w:r>
            <w:rPr>
              <w:rStyle w:val="34"/>
            </w:rPr>
            <w:t>（一）经开区综合运行管理中心</w:t>
          </w:r>
          <w:r>
            <w:tab/>
          </w:r>
          <w:r>
            <w:fldChar w:fldCharType="begin"/>
          </w:r>
          <w:r>
            <w:instrText xml:space="preserve"> PAGEREF _Toc75790522 \h </w:instrText>
          </w:r>
          <w:r>
            <w:fldChar w:fldCharType="separate"/>
          </w:r>
          <w:r>
            <w:t>33</w:t>
          </w:r>
          <w:r>
            <w:fldChar w:fldCharType="end"/>
          </w:r>
          <w:r>
            <w:fldChar w:fldCharType="end"/>
          </w:r>
        </w:p>
        <w:p>
          <w:pPr>
            <w:pStyle w:val="24"/>
            <w:rPr>
              <w:rFonts w:asciiTheme="minorHAnsi" w:hAnsiTheme="minorHAnsi" w:eastAsiaTheme="minorEastAsia" w:cstheme="minorBidi"/>
              <w:color w:val="auto"/>
              <w:kern w:val="2"/>
            </w:rPr>
          </w:pPr>
          <w:r>
            <w:fldChar w:fldCharType="begin"/>
          </w:r>
          <w:r>
            <w:instrText xml:space="preserve"> HYPERLINK \l "_Toc75790527" </w:instrText>
          </w:r>
          <w:r>
            <w:fldChar w:fldCharType="separate"/>
          </w:r>
          <w:r>
            <w:rPr>
              <w:rStyle w:val="34"/>
            </w:rPr>
            <w:t>（二）数据资源体系</w:t>
          </w:r>
          <w:r>
            <w:tab/>
          </w:r>
          <w:r>
            <w:fldChar w:fldCharType="begin"/>
          </w:r>
          <w:r>
            <w:instrText xml:space="preserve"> PAGEREF _Toc75790527 \h </w:instrText>
          </w:r>
          <w:r>
            <w:fldChar w:fldCharType="separate"/>
          </w:r>
          <w:r>
            <w:t>36</w:t>
          </w:r>
          <w:r>
            <w:fldChar w:fldCharType="end"/>
          </w:r>
          <w:r>
            <w:fldChar w:fldCharType="end"/>
          </w:r>
        </w:p>
        <w:p>
          <w:pPr>
            <w:pStyle w:val="24"/>
            <w:rPr>
              <w:rFonts w:asciiTheme="minorHAnsi" w:hAnsiTheme="minorHAnsi" w:eastAsiaTheme="minorEastAsia" w:cstheme="minorBidi"/>
              <w:color w:val="auto"/>
              <w:kern w:val="2"/>
            </w:rPr>
          </w:pPr>
          <w:r>
            <w:fldChar w:fldCharType="begin"/>
          </w:r>
          <w:r>
            <w:instrText xml:space="preserve"> HYPERLINK \l "_Toc75790533" </w:instrText>
          </w:r>
          <w:r>
            <w:fldChar w:fldCharType="separate"/>
          </w:r>
          <w:r>
            <w:rPr>
              <w:rStyle w:val="34"/>
            </w:rPr>
            <w:t>（三）公共支撑平台</w:t>
          </w:r>
          <w:r>
            <w:tab/>
          </w:r>
          <w:r>
            <w:fldChar w:fldCharType="begin"/>
          </w:r>
          <w:r>
            <w:instrText xml:space="preserve"> PAGEREF _Toc75790533 \h </w:instrText>
          </w:r>
          <w:r>
            <w:fldChar w:fldCharType="separate"/>
          </w:r>
          <w:r>
            <w:t>38</w:t>
          </w:r>
          <w:r>
            <w:fldChar w:fldCharType="end"/>
          </w:r>
          <w:r>
            <w:fldChar w:fldCharType="end"/>
          </w:r>
        </w:p>
        <w:p>
          <w:pPr>
            <w:pStyle w:val="20"/>
            <w:rPr>
              <w:rFonts w:cstheme="minorBidi"/>
              <w:kern w:val="2"/>
              <w:sz w:val="28"/>
              <w:szCs w:val="28"/>
            </w:rPr>
          </w:pPr>
          <w:r>
            <w:fldChar w:fldCharType="begin"/>
          </w:r>
          <w:r>
            <w:instrText xml:space="preserve"> HYPERLINK \l "_Toc75790537" </w:instrText>
          </w:r>
          <w:r>
            <w:fldChar w:fldCharType="separate"/>
          </w:r>
          <w:r>
            <w:rPr>
              <w:rStyle w:val="34"/>
              <w:rFonts w:ascii="Times New Roman" w:hAnsi="黑体" w:eastAsia="黑体"/>
              <w:kern w:val="44"/>
              <w:sz w:val="28"/>
              <w:szCs w:val="28"/>
              <w:lang w:val="zh-CN"/>
            </w:rPr>
            <w:t>六、深耕智慧创新的数字应用</w:t>
          </w:r>
          <w:r>
            <w:rPr>
              <w:sz w:val="28"/>
              <w:szCs w:val="28"/>
            </w:rPr>
            <w:tab/>
          </w:r>
          <w:r>
            <w:rPr>
              <w:sz w:val="28"/>
              <w:szCs w:val="28"/>
            </w:rPr>
            <w:fldChar w:fldCharType="begin"/>
          </w:r>
          <w:r>
            <w:rPr>
              <w:sz w:val="28"/>
              <w:szCs w:val="28"/>
            </w:rPr>
            <w:instrText xml:space="preserve"> PAGEREF _Toc75790537 \h </w:instrText>
          </w:r>
          <w:r>
            <w:rPr>
              <w:sz w:val="28"/>
              <w:szCs w:val="28"/>
            </w:rPr>
            <w:fldChar w:fldCharType="separate"/>
          </w:r>
          <w:r>
            <w:rPr>
              <w:sz w:val="28"/>
              <w:szCs w:val="28"/>
            </w:rPr>
            <w:t>39</w:t>
          </w:r>
          <w:r>
            <w:rPr>
              <w:sz w:val="28"/>
              <w:szCs w:val="28"/>
            </w:rPr>
            <w:fldChar w:fldCharType="end"/>
          </w:r>
          <w:r>
            <w:rPr>
              <w:sz w:val="28"/>
              <w:szCs w:val="28"/>
            </w:rPr>
            <w:fldChar w:fldCharType="end"/>
          </w:r>
        </w:p>
        <w:p>
          <w:pPr>
            <w:pStyle w:val="24"/>
            <w:rPr>
              <w:rFonts w:asciiTheme="minorHAnsi" w:hAnsiTheme="minorHAnsi" w:eastAsiaTheme="minorEastAsia" w:cstheme="minorBidi"/>
              <w:color w:val="auto"/>
              <w:kern w:val="2"/>
            </w:rPr>
          </w:pPr>
          <w:r>
            <w:fldChar w:fldCharType="begin"/>
          </w:r>
          <w:r>
            <w:instrText xml:space="preserve"> HYPERLINK \l "_Toc75790538" </w:instrText>
          </w:r>
          <w:r>
            <w:fldChar w:fldCharType="separate"/>
          </w:r>
          <w:r>
            <w:rPr>
              <w:rStyle w:val="34"/>
            </w:rPr>
            <w:t>（一）数字提升政务服务</w:t>
          </w:r>
          <w:r>
            <w:tab/>
          </w:r>
          <w:r>
            <w:fldChar w:fldCharType="begin"/>
          </w:r>
          <w:r>
            <w:instrText xml:space="preserve"> PAGEREF _Toc75790538 \h </w:instrText>
          </w:r>
          <w:r>
            <w:fldChar w:fldCharType="separate"/>
          </w:r>
          <w:r>
            <w:t>39</w:t>
          </w:r>
          <w:r>
            <w:fldChar w:fldCharType="end"/>
          </w:r>
          <w:r>
            <w:fldChar w:fldCharType="end"/>
          </w:r>
        </w:p>
        <w:p>
          <w:pPr>
            <w:pStyle w:val="24"/>
            <w:rPr>
              <w:rFonts w:asciiTheme="minorHAnsi" w:hAnsiTheme="minorHAnsi" w:eastAsiaTheme="minorEastAsia" w:cstheme="minorBidi"/>
              <w:color w:val="auto"/>
              <w:kern w:val="2"/>
            </w:rPr>
          </w:pPr>
          <w:r>
            <w:fldChar w:fldCharType="begin"/>
          </w:r>
          <w:r>
            <w:instrText xml:space="preserve"> HYPERLINK \l "_Toc75790547" </w:instrText>
          </w:r>
          <w:r>
            <w:fldChar w:fldCharType="separate"/>
          </w:r>
          <w:r>
            <w:rPr>
              <w:rStyle w:val="34"/>
            </w:rPr>
            <w:t>（二）数字助推产业发展</w:t>
          </w:r>
          <w:r>
            <w:tab/>
          </w:r>
          <w:r>
            <w:fldChar w:fldCharType="begin"/>
          </w:r>
          <w:r>
            <w:instrText xml:space="preserve"> PAGEREF _Toc75790547 \h </w:instrText>
          </w:r>
          <w:r>
            <w:fldChar w:fldCharType="separate"/>
          </w:r>
          <w:r>
            <w:t>45</w:t>
          </w:r>
          <w:r>
            <w:fldChar w:fldCharType="end"/>
          </w:r>
          <w:r>
            <w:fldChar w:fldCharType="end"/>
          </w:r>
        </w:p>
        <w:p>
          <w:pPr>
            <w:pStyle w:val="24"/>
            <w:rPr>
              <w:rFonts w:asciiTheme="minorHAnsi" w:hAnsiTheme="minorHAnsi" w:eastAsiaTheme="minorEastAsia" w:cstheme="minorBidi"/>
              <w:color w:val="auto"/>
              <w:kern w:val="2"/>
            </w:rPr>
          </w:pPr>
          <w:r>
            <w:fldChar w:fldCharType="begin"/>
          </w:r>
          <w:r>
            <w:instrText xml:space="preserve"> HYPERLINK \l "_Toc75790556" </w:instrText>
          </w:r>
          <w:r>
            <w:fldChar w:fldCharType="separate"/>
          </w:r>
          <w:r>
            <w:rPr>
              <w:rStyle w:val="34"/>
            </w:rPr>
            <w:t>（三）数字强化民生保障</w:t>
          </w:r>
          <w:r>
            <w:tab/>
          </w:r>
          <w:r>
            <w:fldChar w:fldCharType="begin"/>
          </w:r>
          <w:r>
            <w:instrText xml:space="preserve"> PAGEREF _Toc75790556 \h </w:instrText>
          </w:r>
          <w:r>
            <w:fldChar w:fldCharType="separate"/>
          </w:r>
          <w:r>
            <w:t>49</w:t>
          </w:r>
          <w:r>
            <w:fldChar w:fldCharType="end"/>
          </w:r>
          <w:r>
            <w:fldChar w:fldCharType="end"/>
          </w:r>
        </w:p>
        <w:p>
          <w:pPr>
            <w:pStyle w:val="24"/>
            <w:rPr>
              <w:rFonts w:asciiTheme="minorHAnsi" w:hAnsiTheme="minorHAnsi" w:eastAsiaTheme="minorEastAsia" w:cstheme="minorBidi"/>
              <w:color w:val="auto"/>
              <w:kern w:val="2"/>
            </w:rPr>
          </w:pPr>
          <w:r>
            <w:fldChar w:fldCharType="begin"/>
          </w:r>
          <w:r>
            <w:instrText xml:space="preserve"> HYPERLINK \l "_Toc75790561" </w:instrText>
          </w:r>
          <w:r>
            <w:fldChar w:fldCharType="separate"/>
          </w:r>
          <w:r>
            <w:rPr>
              <w:rStyle w:val="34"/>
            </w:rPr>
            <w:t>（四）数字赋能城区治理</w:t>
          </w:r>
          <w:r>
            <w:tab/>
          </w:r>
          <w:r>
            <w:fldChar w:fldCharType="begin"/>
          </w:r>
          <w:r>
            <w:instrText xml:space="preserve"> PAGEREF _Toc75790561 \h </w:instrText>
          </w:r>
          <w:r>
            <w:fldChar w:fldCharType="separate"/>
          </w:r>
          <w:r>
            <w:t>50</w:t>
          </w:r>
          <w:r>
            <w:fldChar w:fldCharType="end"/>
          </w:r>
          <w:r>
            <w:fldChar w:fldCharType="end"/>
          </w:r>
        </w:p>
        <w:p>
          <w:pPr>
            <w:pStyle w:val="20"/>
            <w:rPr>
              <w:rFonts w:cstheme="minorBidi"/>
              <w:kern w:val="2"/>
              <w:sz w:val="28"/>
              <w:szCs w:val="28"/>
            </w:rPr>
          </w:pPr>
          <w:r>
            <w:fldChar w:fldCharType="begin"/>
          </w:r>
          <w:r>
            <w:instrText xml:space="preserve"> HYPERLINK \l "_Toc75790570" </w:instrText>
          </w:r>
          <w:r>
            <w:fldChar w:fldCharType="separate"/>
          </w:r>
          <w:r>
            <w:rPr>
              <w:rStyle w:val="34"/>
              <w:rFonts w:ascii="Times New Roman" w:hAnsi="黑体" w:eastAsia="黑体"/>
              <w:kern w:val="44"/>
              <w:sz w:val="28"/>
              <w:szCs w:val="28"/>
              <w:lang w:val="zh-CN"/>
            </w:rPr>
            <w:t>七、构筑可信可控的支撑体系</w:t>
          </w:r>
          <w:r>
            <w:rPr>
              <w:sz w:val="28"/>
              <w:szCs w:val="28"/>
            </w:rPr>
            <w:tab/>
          </w:r>
          <w:r>
            <w:rPr>
              <w:sz w:val="28"/>
              <w:szCs w:val="28"/>
            </w:rPr>
            <w:fldChar w:fldCharType="begin"/>
          </w:r>
          <w:r>
            <w:rPr>
              <w:sz w:val="28"/>
              <w:szCs w:val="28"/>
            </w:rPr>
            <w:instrText xml:space="preserve"> PAGEREF _Toc75790570 \h </w:instrText>
          </w:r>
          <w:r>
            <w:rPr>
              <w:sz w:val="28"/>
              <w:szCs w:val="28"/>
            </w:rPr>
            <w:fldChar w:fldCharType="separate"/>
          </w:r>
          <w:r>
            <w:rPr>
              <w:sz w:val="28"/>
              <w:szCs w:val="28"/>
            </w:rPr>
            <w:t>53</w:t>
          </w:r>
          <w:r>
            <w:rPr>
              <w:sz w:val="28"/>
              <w:szCs w:val="28"/>
            </w:rPr>
            <w:fldChar w:fldCharType="end"/>
          </w:r>
          <w:r>
            <w:rPr>
              <w:sz w:val="28"/>
              <w:szCs w:val="28"/>
            </w:rPr>
            <w:fldChar w:fldCharType="end"/>
          </w:r>
        </w:p>
        <w:p>
          <w:pPr>
            <w:pStyle w:val="24"/>
            <w:rPr>
              <w:rFonts w:asciiTheme="minorHAnsi" w:hAnsiTheme="minorHAnsi" w:eastAsiaTheme="minorEastAsia" w:cstheme="minorBidi"/>
              <w:color w:val="auto"/>
              <w:kern w:val="2"/>
            </w:rPr>
          </w:pPr>
          <w:r>
            <w:fldChar w:fldCharType="begin"/>
          </w:r>
          <w:r>
            <w:instrText xml:space="preserve"> HYPERLINK \l "_Toc75790571" </w:instrText>
          </w:r>
          <w:r>
            <w:fldChar w:fldCharType="separate"/>
          </w:r>
          <w:r>
            <w:rPr>
              <w:rStyle w:val="34"/>
            </w:rPr>
            <w:t>（一）安全体系</w:t>
          </w:r>
          <w:r>
            <w:tab/>
          </w:r>
          <w:r>
            <w:fldChar w:fldCharType="begin"/>
          </w:r>
          <w:r>
            <w:instrText xml:space="preserve"> PAGEREF _Toc75790571 \h </w:instrText>
          </w:r>
          <w:r>
            <w:fldChar w:fldCharType="separate"/>
          </w:r>
          <w:r>
            <w:t>53</w:t>
          </w:r>
          <w:r>
            <w:fldChar w:fldCharType="end"/>
          </w:r>
          <w:r>
            <w:fldChar w:fldCharType="end"/>
          </w:r>
        </w:p>
        <w:p>
          <w:pPr>
            <w:pStyle w:val="24"/>
            <w:rPr>
              <w:rFonts w:asciiTheme="minorHAnsi" w:hAnsiTheme="minorHAnsi" w:eastAsiaTheme="minorEastAsia" w:cstheme="minorBidi"/>
              <w:color w:val="auto"/>
              <w:kern w:val="2"/>
            </w:rPr>
          </w:pPr>
          <w:r>
            <w:fldChar w:fldCharType="begin"/>
          </w:r>
          <w:r>
            <w:instrText xml:space="preserve"> HYPERLINK \l "_Toc75790572" </w:instrText>
          </w:r>
          <w:r>
            <w:fldChar w:fldCharType="separate"/>
          </w:r>
          <w:r>
            <w:rPr>
              <w:rStyle w:val="34"/>
            </w:rPr>
            <w:t>（二）标准体系</w:t>
          </w:r>
          <w:r>
            <w:tab/>
          </w:r>
          <w:r>
            <w:fldChar w:fldCharType="begin"/>
          </w:r>
          <w:r>
            <w:instrText xml:space="preserve"> PAGEREF _Toc75790572 \h </w:instrText>
          </w:r>
          <w:r>
            <w:fldChar w:fldCharType="separate"/>
          </w:r>
          <w:r>
            <w:t>54</w:t>
          </w:r>
          <w:r>
            <w:fldChar w:fldCharType="end"/>
          </w:r>
          <w:r>
            <w:fldChar w:fldCharType="end"/>
          </w:r>
        </w:p>
        <w:p>
          <w:pPr>
            <w:pStyle w:val="24"/>
            <w:rPr>
              <w:rFonts w:asciiTheme="minorHAnsi" w:hAnsiTheme="minorHAnsi" w:eastAsiaTheme="minorEastAsia" w:cstheme="minorBidi"/>
              <w:color w:val="auto"/>
              <w:kern w:val="2"/>
            </w:rPr>
          </w:pPr>
          <w:r>
            <w:fldChar w:fldCharType="begin"/>
          </w:r>
          <w:r>
            <w:instrText xml:space="preserve"> HYPERLINK \l "_Toc75790573" </w:instrText>
          </w:r>
          <w:r>
            <w:fldChar w:fldCharType="separate"/>
          </w:r>
          <w:r>
            <w:rPr>
              <w:rStyle w:val="34"/>
            </w:rPr>
            <w:t>（三）运营体系</w:t>
          </w:r>
          <w:r>
            <w:tab/>
          </w:r>
          <w:r>
            <w:fldChar w:fldCharType="begin"/>
          </w:r>
          <w:r>
            <w:instrText xml:space="preserve"> PAGEREF _Toc75790573 \h </w:instrText>
          </w:r>
          <w:r>
            <w:fldChar w:fldCharType="separate"/>
          </w:r>
          <w:r>
            <w:t>54</w:t>
          </w:r>
          <w:r>
            <w:fldChar w:fldCharType="end"/>
          </w:r>
          <w:r>
            <w:fldChar w:fldCharType="end"/>
          </w:r>
        </w:p>
        <w:p>
          <w:pPr>
            <w:pStyle w:val="20"/>
            <w:rPr>
              <w:rFonts w:cstheme="minorBidi"/>
              <w:kern w:val="2"/>
              <w:sz w:val="28"/>
              <w:szCs w:val="28"/>
            </w:rPr>
          </w:pPr>
          <w:r>
            <w:fldChar w:fldCharType="begin"/>
          </w:r>
          <w:r>
            <w:instrText xml:space="preserve"> HYPERLINK \l "_Toc75790574" </w:instrText>
          </w:r>
          <w:r>
            <w:fldChar w:fldCharType="separate"/>
          </w:r>
          <w:r>
            <w:rPr>
              <w:rStyle w:val="34"/>
              <w:rFonts w:ascii="Times New Roman" w:hAnsi="黑体" w:eastAsia="黑体"/>
              <w:kern w:val="44"/>
              <w:sz w:val="28"/>
              <w:szCs w:val="28"/>
              <w:lang w:val="zh-CN"/>
            </w:rPr>
            <w:t>八、规划保障措施</w:t>
          </w:r>
          <w:r>
            <w:rPr>
              <w:sz w:val="28"/>
              <w:szCs w:val="28"/>
            </w:rPr>
            <w:tab/>
          </w:r>
          <w:r>
            <w:rPr>
              <w:sz w:val="28"/>
              <w:szCs w:val="28"/>
            </w:rPr>
            <w:fldChar w:fldCharType="begin"/>
          </w:r>
          <w:r>
            <w:rPr>
              <w:sz w:val="28"/>
              <w:szCs w:val="28"/>
            </w:rPr>
            <w:instrText xml:space="preserve"> PAGEREF _Toc75790574 \h </w:instrText>
          </w:r>
          <w:r>
            <w:rPr>
              <w:sz w:val="28"/>
              <w:szCs w:val="28"/>
            </w:rPr>
            <w:fldChar w:fldCharType="separate"/>
          </w:r>
          <w:r>
            <w:rPr>
              <w:sz w:val="28"/>
              <w:szCs w:val="28"/>
            </w:rPr>
            <w:t>54</w:t>
          </w:r>
          <w:r>
            <w:rPr>
              <w:sz w:val="28"/>
              <w:szCs w:val="28"/>
            </w:rPr>
            <w:fldChar w:fldCharType="end"/>
          </w:r>
          <w:r>
            <w:rPr>
              <w:sz w:val="28"/>
              <w:szCs w:val="28"/>
            </w:rPr>
            <w:fldChar w:fldCharType="end"/>
          </w:r>
        </w:p>
        <w:p>
          <w:pPr>
            <w:pStyle w:val="24"/>
            <w:rPr>
              <w:rFonts w:asciiTheme="minorHAnsi" w:hAnsiTheme="minorHAnsi" w:eastAsiaTheme="minorEastAsia" w:cstheme="minorBidi"/>
              <w:color w:val="auto"/>
              <w:kern w:val="2"/>
            </w:rPr>
          </w:pPr>
          <w:r>
            <w:fldChar w:fldCharType="begin"/>
          </w:r>
          <w:r>
            <w:instrText xml:space="preserve"> HYPERLINK \l "_Toc75790575" </w:instrText>
          </w:r>
          <w:r>
            <w:fldChar w:fldCharType="separate"/>
          </w:r>
          <w:r>
            <w:rPr>
              <w:rStyle w:val="34"/>
            </w:rPr>
            <w:t>（一）切实加强组织领导</w:t>
          </w:r>
          <w:r>
            <w:tab/>
          </w:r>
          <w:r>
            <w:fldChar w:fldCharType="begin"/>
          </w:r>
          <w:r>
            <w:instrText xml:space="preserve"> PAGEREF _Toc75790575 \h </w:instrText>
          </w:r>
          <w:r>
            <w:fldChar w:fldCharType="separate"/>
          </w:r>
          <w:r>
            <w:t>54</w:t>
          </w:r>
          <w:r>
            <w:fldChar w:fldCharType="end"/>
          </w:r>
          <w:r>
            <w:fldChar w:fldCharType="end"/>
          </w:r>
        </w:p>
        <w:p>
          <w:pPr>
            <w:pStyle w:val="24"/>
            <w:rPr>
              <w:rFonts w:asciiTheme="minorHAnsi" w:hAnsiTheme="minorHAnsi" w:eastAsiaTheme="minorEastAsia" w:cstheme="minorBidi"/>
              <w:color w:val="auto"/>
              <w:kern w:val="2"/>
            </w:rPr>
          </w:pPr>
          <w:r>
            <w:fldChar w:fldCharType="begin"/>
          </w:r>
          <w:r>
            <w:instrText xml:space="preserve"> HYPERLINK \l "_Toc75790576" </w:instrText>
          </w:r>
          <w:r>
            <w:fldChar w:fldCharType="separate"/>
          </w:r>
          <w:r>
            <w:rPr>
              <w:rStyle w:val="34"/>
            </w:rPr>
            <w:t>（二）完善统筹协调机制</w:t>
          </w:r>
          <w:r>
            <w:tab/>
          </w:r>
          <w:r>
            <w:fldChar w:fldCharType="begin"/>
          </w:r>
          <w:r>
            <w:instrText xml:space="preserve"> PAGEREF _Toc75790576 \h </w:instrText>
          </w:r>
          <w:r>
            <w:fldChar w:fldCharType="separate"/>
          </w:r>
          <w:r>
            <w:t>55</w:t>
          </w:r>
          <w:r>
            <w:fldChar w:fldCharType="end"/>
          </w:r>
          <w:r>
            <w:fldChar w:fldCharType="end"/>
          </w:r>
        </w:p>
        <w:p>
          <w:pPr>
            <w:pStyle w:val="24"/>
            <w:rPr>
              <w:rFonts w:asciiTheme="minorHAnsi" w:hAnsiTheme="minorHAnsi" w:eastAsiaTheme="minorEastAsia" w:cstheme="minorBidi"/>
              <w:color w:val="auto"/>
              <w:kern w:val="2"/>
            </w:rPr>
          </w:pPr>
          <w:r>
            <w:fldChar w:fldCharType="begin"/>
          </w:r>
          <w:r>
            <w:instrText xml:space="preserve"> HYPERLINK \l "_Toc75790577" </w:instrText>
          </w:r>
          <w:r>
            <w:fldChar w:fldCharType="separate"/>
          </w:r>
          <w:r>
            <w:rPr>
              <w:rStyle w:val="34"/>
            </w:rPr>
            <w:t>（三）拓宽投资融资渠道</w:t>
          </w:r>
          <w:r>
            <w:tab/>
          </w:r>
          <w:r>
            <w:fldChar w:fldCharType="begin"/>
          </w:r>
          <w:r>
            <w:instrText xml:space="preserve"> PAGEREF _Toc75790577 \h </w:instrText>
          </w:r>
          <w:r>
            <w:fldChar w:fldCharType="separate"/>
          </w:r>
          <w:r>
            <w:t>55</w:t>
          </w:r>
          <w:r>
            <w:fldChar w:fldCharType="end"/>
          </w:r>
          <w:r>
            <w:fldChar w:fldCharType="end"/>
          </w:r>
        </w:p>
        <w:p>
          <w:pPr>
            <w:pStyle w:val="24"/>
            <w:rPr>
              <w:rFonts w:asciiTheme="minorHAnsi" w:hAnsiTheme="minorHAnsi" w:eastAsiaTheme="minorEastAsia" w:cstheme="minorBidi"/>
              <w:color w:val="auto"/>
              <w:kern w:val="2"/>
            </w:rPr>
          </w:pPr>
          <w:r>
            <w:fldChar w:fldCharType="begin"/>
          </w:r>
          <w:r>
            <w:instrText xml:space="preserve"> HYPERLINK \l "_Toc75790578" </w:instrText>
          </w:r>
          <w:r>
            <w:fldChar w:fldCharType="separate"/>
          </w:r>
          <w:r>
            <w:rPr>
              <w:rStyle w:val="34"/>
            </w:rPr>
            <w:t>（四）加强人才队伍建设</w:t>
          </w:r>
          <w:r>
            <w:tab/>
          </w:r>
          <w:r>
            <w:fldChar w:fldCharType="begin"/>
          </w:r>
          <w:r>
            <w:instrText xml:space="preserve"> PAGEREF _Toc75790578 \h </w:instrText>
          </w:r>
          <w:r>
            <w:fldChar w:fldCharType="separate"/>
          </w:r>
          <w:r>
            <w:t>56</w:t>
          </w:r>
          <w:r>
            <w:fldChar w:fldCharType="end"/>
          </w:r>
          <w:r>
            <w:fldChar w:fldCharType="end"/>
          </w:r>
        </w:p>
        <w:p>
          <w:pPr>
            <w:pStyle w:val="24"/>
            <w:rPr>
              <w:rFonts w:asciiTheme="minorHAnsi" w:hAnsiTheme="minorHAnsi" w:eastAsiaTheme="minorEastAsia" w:cstheme="minorBidi"/>
              <w:color w:val="auto"/>
              <w:kern w:val="2"/>
            </w:rPr>
          </w:pPr>
          <w:r>
            <w:fldChar w:fldCharType="begin"/>
          </w:r>
          <w:r>
            <w:instrText xml:space="preserve"> HYPERLINK \l "_Toc75790579" </w:instrText>
          </w:r>
          <w:r>
            <w:fldChar w:fldCharType="separate"/>
          </w:r>
          <w:r>
            <w:rPr>
              <w:rStyle w:val="34"/>
            </w:rPr>
            <w:t>（五）夯实智力支撑能力</w:t>
          </w:r>
          <w:r>
            <w:tab/>
          </w:r>
          <w:r>
            <w:fldChar w:fldCharType="begin"/>
          </w:r>
          <w:r>
            <w:instrText xml:space="preserve"> PAGEREF _Toc75790579 \h </w:instrText>
          </w:r>
          <w:r>
            <w:fldChar w:fldCharType="separate"/>
          </w:r>
          <w:r>
            <w:t>56</w:t>
          </w:r>
          <w:r>
            <w:fldChar w:fldCharType="end"/>
          </w:r>
          <w:r>
            <w:fldChar w:fldCharType="end"/>
          </w:r>
        </w:p>
        <w:p>
          <w:pPr>
            <w:pStyle w:val="24"/>
            <w:rPr>
              <w:b/>
              <w:bCs/>
              <w:lang w:val="zh-CN"/>
            </w:rPr>
            <w:sectPr>
              <w:footerReference r:id="rId4" w:type="default"/>
              <w:pgSz w:w="11906" w:h="16838"/>
              <w:pgMar w:top="1440" w:right="1800" w:bottom="1440" w:left="1800" w:header="851" w:footer="992" w:gutter="0"/>
              <w:pgNumType w:fmt="upperRoman" w:start="1"/>
              <w:cols w:space="425" w:num="1"/>
              <w:docGrid w:type="lines" w:linePitch="312" w:charSpace="0"/>
            </w:sectPr>
          </w:pPr>
          <w:r>
            <w:rPr>
              <w:rFonts w:ascii="宋体" w:hAnsi="宋体"/>
              <w:b/>
              <w:bCs/>
              <w:lang w:val="zh-CN"/>
            </w:rPr>
            <w:fldChar w:fldCharType="end"/>
          </w:r>
        </w:p>
      </w:sdtContent>
    </w:sdt>
    <w:p>
      <w:pPr>
        <w:pStyle w:val="2"/>
        <w:keepNext/>
        <w:keepLines/>
        <w:widowControl w:val="0"/>
        <w:spacing w:before="0" w:beforeAutospacing="0" w:after="0" w:afterAutospacing="0" w:line="360" w:lineRule="auto"/>
        <w:jc w:val="center"/>
        <w:rPr>
          <w:rFonts w:ascii="Times New Roman" w:hAnsi="Times New Roman" w:eastAsia="黑体" w:cs="Times New Roman"/>
          <w:b w:val="0"/>
          <w:color w:val="000000" w:themeColor="text1"/>
          <w:kern w:val="44"/>
          <w:sz w:val="32"/>
          <w:szCs w:val="36"/>
          <w14:textFill>
            <w14:solidFill>
              <w14:schemeClr w14:val="tx1"/>
            </w14:solidFill>
          </w14:textFill>
        </w:rPr>
      </w:pPr>
      <w:bookmarkStart w:id="2" w:name="_Toc75790471"/>
      <w:r>
        <w:rPr>
          <w:rFonts w:hint="eastAsia" w:ascii="Times New Roman" w:hAnsi="Times New Roman" w:eastAsia="黑体" w:cs="Times New Roman"/>
          <w:b w:val="0"/>
          <w:color w:val="000000" w:themeColor="text1"/>
          <w:kern w:val="44"/>
          <w:sz w:val="32"/>
          <w:szCs w:val="36"/>
          <w14:textFill>
            <w14:solidFill>
              <w14:schemeClr w14:val="tx1"/>
            </w14:solidFill>
          </w14:textFill>
        </w:rPr>
        <w:t>前 言</w:t>
      </w:r>
      <w:bookmarkEnd w:id="2"/>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随着政府职能转变的不断深化和信息化发展的不断深入，以</w:t>
      </w:r>
      <w:r>
        <w:rPr>
          <w:rFonts w:ascii="Times New Roman" w:hAnsi="Times New Roman" w:eastAsia="仿宋_GB2312" w:cs="Times New Roman"/>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互联网</w:t>
      </w:r>
      <w:r>
        <w:rPr>
          <w:rFonts w:ascii="Times New Roman" w:hAnsi="Times New Roman" w:eastAsia="仿宋_GB2312" w:cs="Times New Roman"/>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政务服务</w:t>
      </w:r>
      <w:r>
        <w:rPr>
          <w:rFonts w:ascii="Times New Roman" w:hAnsi="Times New Roman" w:eastAsia="仿宋_GB2312" w:cs="Times New Roman"/>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为核心的</w:t>
      </w:r>
      <w:r>
        <w:rPr>
          <w:rFonts w:ascii="Times New Roman" w:hAnsi="Times New Roman" w:eastAsia="仿宋_GB2312" w:cs="Times New Roman"/>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数字政府</w:t>
      </w:r>
      <w:r>
        <w:rPr>
          <w:rFonts w:ascii="Times New Roman" w:hAnsi="Times New Roman" w:eastAsia="仿宋_GB2312" w:cs="Times New Roman"/>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正逐步成为创新政府管理和服务的新方式、新渠道、新载体。</w:t>
      </w:r>
      <w:r>
        <w:rPr>
          <w:rFonts w:hint="eastAsia" w:ascii="仿宋_GB2312" w:hAnsi="仿宋_GB2312" w:eastAsia="仿宋_GB2312" w:cs="仿宋_GB2312"/>
          <w:color w:val="000000" w:themeColor="text1"/>
          <w:sz w:val="32"/>
          <w:szCs w:val="32"/>
          <w14:textFill>
            <w14:solidFill>
              <w14:schemeClr w14:val="tx1"/>
            </w14:solidFill>
          </w14:textFill>
        </w:rPr>
        <w:t>习近平总书记在党的十九届五中全会上提出加快数字化发展的战略决策，并对提供数字政府建设水平进行了系统部署。</w:t>
      </w:r>
      <w:r>
        <w:rPr>
          <w:rFonts w:hint="eastAsia" w:ascii="MS Gothic" w:hAnsi="MS Gothic" w:eastAsia="MS Gothic" w:cs="MS Gothic"/>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在第十三届全国人民代表大会第四次会议的政府工作报告中，提到加快数字化发展，打造数字经济新优势，协同推进数字产业化和产业数字化转型，加快数字社会建设步伐，提高数字政府建设水平，营造良好数字生态，建设数字中国。当前，我国的数字政府建设已进入全面提升阶段，数字政府成为推进服务型政府建设的重要抓手、一体化政府建设的重要助推器、提升治理智慧化水平的重要工具、和推动社会经济高质量发展的重要引擎。在新冠肺炎疫情期间，数字政府在疫情防控、复工复产中发挥的重要作用有目共睹。</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广东省委省政府深刻认识推进数字政府改革建设的重大意义，以数字化建设和政府流程再造为切入点，充分运用系统观点和互联网思维，部署并强力推进数字政府改革建设。力争在“十四五”时期，基本建成高效协同的数字化整体政府，数字政府引领全省数字经济、智慧社会发展作用进一步增强。湛江市委市政府积极跟进，高度重视“数字政府”建设，并系统性地扎实推进有关工作，制定出《湛江市数字政府建设总体规划</w:t>
      </w:r>
      <w:r>
        <w:rPr>
          <w:rFonts w:ascii="仿宋_GB2312" w:hAnsi="仿宋_GB2312" w:eastAsia="仿宋_GB2312" w:cs="仿宋_GB2312"/>
          <w:color w:val="000000" w:themeColor="text1"/>
          <w:sz w:val="32"/>
          <w:szCs w:val="32"/>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w:t>
      </w:r>
      <w:r>
        <w:rPr>
          <w:rFonts w:ascii="仿宋_GB2312" w:hAnsi="仿宋_GB2312" w:eastAsia="仿宋_GB2312" w:cs="仿宋_GB2312"/>
          <w:color w:val="000000" w:themeColor="text1"/>
          <w:sz w:val="32"/>
          <w:szCs w:val="32"/>
          <w14:textFill>
            <w14:solidFill>
              <w14:schemeClr w14:val="tx1"/>
            </w14:solidFill>
          </w14:textFill>
        </w:rPr>
        <w:t>2020-2022</w:t>
      </w:r>
      <w:r>
        <w:rPr>
          <w:rFonts w:hint="eastAsia" w:ascii="仿宋_GB2312" w:hAnsi="仿宋_GB2312" w:eastAsia="仿宋_GB2312" w:cs="仿宋_GB2312"/>
          <w:color w:val="000000" w:themeColor="text1"/>
          <w:sz w:val="32"/>
          <w:szCs w:val="32"/>
          <w14:textFill>
            <w14:solidFill>
              <w14:schemeClr w14:val="tx1"/>
            </w14:solidFill>
          </w14:textFill>
        </w:rPr>
        <w:t>年）》。</w:t>
      </w:r>
    </w:p>
    <w:p>
      <w:pPr>
        <w:spacing w:line="560" w:lineRule="exact"/>
        <w:ind w:firstLine="640" w:firstLineChars="200"/>
        <w:rPr>
          <w:color w:val="000000" w:themeColor="text1"/>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湛江经济技术开发区（以下简称“经开区”）党委和管委迅速贯彻省、市关于“数字政府”改革建设的精神，主动适应大数据时代发展新形势，对经开区“数字政府”建设进行可行性调查，走访了珠三角“数字政府”建设有成效的地区，学先进、找差距、补短板，加快政务信息化建设体制改革</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以数据为驱动力的数字政府治理模式，积极</w:t>
      </w:r>
      <w:r>
        <w:rPr>
          <w:rFonts w:ascii="仿宋_GB2312" w:hAnsi="仿宋_GB2312" w:eastAsia="仿宋_GB2312" w:cs="仿宋_GB2312"/>
          <w:color w:val="000000" w:themeColor="text1"/>
          <w:sz w:val="32"/>
          <w:szCs w:val="32"/>
          <w14:textFill>
            <w14:solidFill>
              <w14:schemeClr w14:val="tx1"/>
            </w14:solidFill>
          </w14:textFill>
        </w:rPr>
        <w:t>促进政府数字化转型，</w:t>
      </w:r>
      <w:r>
        <w:rPr>
          <w:rFonts w:hint="eastAsia" w:ascii="仿宋_GB2312" w:hAnsi="仿宋_GB2312" w:eastAsia="仿宋_GB2312" w:cs="仿宋_GB2312"/>
          <w:color w:val="000000" w:themeColor="text1"/>
          <w:sz w:val="32"/>
          <w:szCs w:val="32"/>
          <w14:textFill>
            <w14:solidFill>
              <w14:schemeClr w14:val="tx1"/>
            </w14:solidFill>
          </w14:textFill>
        </w:rPr>
        <w:t>推动新型智慧城市和智慧园区建设，打造“</w:t>
      </w:r>
      <w:r>
        <w:rPr>
          <w:rFonts w:ascii="仿宋_GB2312" w:hAnsi="仿宋_GB2312" w:eastAsia="仿宋_GB2312" w:cs="仿宋_GB2312"/>
          <w:color w:val="000000" w:themeColor="text1"/>
          <w:sz w:val="32"/>
          <w:szCs w:val="32"/>
          <w14:textFill>
            <w14:solidFill>
              <w14:schemeClr w14:val="tx1"/>
            </w14:solidFill>
          </w14:textFill>
        </w:rPr>
        <w:t>宜工宜商宜居宜游的现代化大工业新城</w:t>
      </w:r>
      <w:r>
        <w:rPr>
          <w:rFonts w:hint="eastAsia" w:ascii="仿宋_GB2312" w:hAnsi="仿宋_GB2312" w:eastAsia="仿宋_GB2312" w:cs="仿宋_GB2312"/>
          <w:color w:val="000000" w:themeColor="text1"/>
          <w:sz w:val="32"/>
          <w:szCs w:val="32"/>
          <w14:textFill>
            <w14:solidFill>
              <w14:schemeClr w14:val="tx1"/>
            </w14:solidFill>
          </w14:textFill>
        </w:rPr>
        <w:t>”，当好湛江经济发展排头兵，为助力湛江加快建设省域副中心城市、打造现代化沿海经济带重要发展极作出经开区贡献。</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sectPr>
          <w:pgSz w:w="11900" w:h="16838"/>
          <w:pgMar w:top="1440" w:right="1920" w:bottom="1440" w:left="1800" w:header="0" w:footer="952" w:gutter="0"/>
          <w:pgNumType w:start="1"/>
          <w:cols w:equalWidth="0" w:num="1">
            <w:col w:w="8180"/>
          </w:cols>
        </w:sectPr>
      </w:pPr>
      <w:r>
        <w:rPr>
          <w:rFonts w:hint="eastAsia" w:ascii="仿宋_GB2312" w:hAnsi="仿宋_GB2312" w:eastAsia="仿宋_GB2312" w:cs="仿宋_GB2312"/>
          <w:color w:val="000000" w:themeColor="text1"/>
          <w:sz w:val="32"/>
          <w:szCs w:val="32"/>
          <w14:textFill>
            <w14:solidFill>
              <w14:schemeClr w14:val="tx1"/>
            </w14:solidFill>
          </w14:textFill>
        </w:rPr>
        <w:t>依据《国家信息化发展战略纲要》、《国务院关于加快推进“互联网+政务服务”工作的指导意见》、《国务院办公厅关于印发“互联网+政务服务”技术体系建设指南的通知》等</w:t>
      </w:r>
      <w:r>
        <w:rPr>
          <w:rFonts w:ascii="仿宋_GB2312" w:hAnsi="仿宋_GB2312" w:eastAsia="仿宋_GB2312" w:cs="仿宋_GB2312"/>
          <w:color w:val="000000" w:themeColor="text1"/>
          <w:sz w:val="32"/>
          <w:szCs w:val="32"/>
          <w14:textFill>
            <w14:solidFill>
              <w14:schemeClr w14:val="tx1"/>
            </w14:solidFill>
          </w14:textFill>
        </w:rPr>
        <w:t>文件</w:t>
      </w:r>
      <w:r>
        <w:rPr>
          <w:rFonts w:hint="eastAsia" w:ascii="仿宋_GB2312" w:hAnsi="仿宋_GB2312" w:eastAsia="仿宋_GB2312" w:cs="仿宋_GB2312"/>
          <w:color w:val="000000" w:themeColor="text1"/>
          <w:sz w:val="32"/>
          <w:szCs w:val="32"/>
          <w14:textFill>
            <w14:solidFill>
              <w14:schemeClr w14:val="tx1"/>
            </w14:solidFill>
          </w14:textFill>
        </w:rPr>
        <w:t>精神，对接《湛江市“数字政府”建设总体规划（2020-2022年）》的要求，围绕《湛江经济技术开发区国民经济和社会发展第十四五年规划纲要(2021-2025年)》所提出的奋斗目标，以服务企业为中心，以国民经济和社会高质量发展为目的，深入推进政务服务“一网通办”、省域治理“一网统管”和政府运行“一网协同”的“三网”融合，结合本区实际制定本规划。</w:t>
      </w:r>
    </w:p>
    <w:p>
      <w:pPr>
        <w:widowControl/>
        <w:tabs>
          <w:tab w:val="left" w:pos="4020"/>
        </w:tabs>
        <w:spacing w:line="600" w:lineRule="exact"/>
        <w:ind w:left="578"/>
        <w:outlineLvl w:val="0"/>
        <w:rPr>
          <w:rFonts w:ascii="黑体" w:hAnsi="黑体" w:eastAsia="黑体" w:cs="宋体"/>
          <w:color w:val="000000" w:themeColor="text1"/>
          <w:kern w:val="0"/>
          <w:sz w:val="32"/>
          <w:szCs w:val="32"/>
          <w14:textFill>
            <w14:solidFill>
              <w14:schemeClr w14:val="tx1"/>
            </w14:solidFill>
          </w14:textFill>
        </w:rPr>
      </w:pPr>
      <w:bookmarkStart w:id="3" w:name="_Toc75790472"/>
      <w:r>
        <w:rPr>
          <w:rFonts w:hint="eastAsia" w:ascii="黑体" w:hAnsi="黑体" w:eastAsia="黑体" w:cs="宋体"/>
          <w:color w:val="000000" w:themeColor="text1"/>
          <w:kern w:val="0"/>
          <w:sz w:val="32"/>
          <w:szCs w:val="32"/>
          <w14:textFill>
            <w14:solidFill>
              <w14:schemeClr w14:val="tx1"/>
            </w14:solidFill>
          </w14:textFill>
        </w:rPr>
        <w:t>一、发展基础与机遇</w:t>
      </w:r>
      <w:bookmarkEnd w:id="3"/>
    </w:p>
    <w:p>
      <w:pPr>
        <w:widowControl/>
        <w:spacing w:line="560" w:lineRule="exact"/>
        <w:ind w:firstLine="640" w:firstLineChars="200"/>
        <w:jc w:val="left"/>
        <w:outlineLvl w:val="1"/>
        <w:rPr>
          <w:rFonts w:ascii="楷体_GB2312" w:hAnsi="黑体" w:eastAsia="楷体_GB2312" w:cs="仿宋_GB2312"/>
          <w:color w:val="000000" w:themeColor="text1"/>
          <w:kern w:val="0"/>
          <w:sz w:val="32"/>
          <w:szCs w:val="32"/>
          <w14:textFill>
            <w14:solidFill>
              <w14:schemeClr w14:val="tx1"/>
            </w14:solidFill>
          </w14:textFill>
        </w:rPr>
      </w:pPr>
      <w:bookmarkStart w:id="4" w:name="_Toc75790473"/>
      <w:r>
        <w:rPr>
          <w:rFonts w:hint="eastAsia" w:ascii="楷体_GB2312" w:hAnsi="黑体" w:eastAsia="楷体_GB2312" w:cs="仿宋_GB2312"/>
          <w:color w:val="000000" w:themeColor="text1"/>
          <w:kern w:val="0"/>
          <w:sz w:val="32"/>
          <w:szCs w:val="32"/>
          <w14:textFill>
            <w14:solidFill>
              <w14:schemeClr w14:val="tx1"/>
            </w14:solidFill>
          </w14:textFill>
        </w:rPr>
        <w:t>（一）发展基础</w:t>
      </w:r>
      <w:bookmarkEnd w:id="4"/>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14:textFill>
            <w14:solidFill>
              <w14:schemeClr w14:val="tx1"/>
            </w14:solidFill>
          </w14:textFill>
        </w:rPr>
      </w:pPr>
      <w:bookmarkStart w:id="5" w:name="_Toc56410706"/>
      <w:r>
        <w:rPr>
          <w:rFonts w:hint="eastAsia" w:ascii="仿宋_GB2312" w:hAnsi="仿宋" w:eastAsia="仿宋_GB2312" w:cs="E-BX"/>
          <w:color w:val="000000" w:themeColor="text1"/>
          <w:kern w:val="0"/>
          <w:sz w:val="32"/>
          <w:szCs w:val="32"/>
          <w14:textFill>
            <w14:solidFill>
              <w14:schemeClr w14:val="tx1"/>
            </w14:solidFill>
          </w14:textFill>
        </w:rPr>
        <w:t>“十三五”期间，经开区改革开放持续深化。数字政府改革建设成效显著，移动政府“指尖办”普遍应用，数字化水平大幅提升。围绕国务院提出的政务服务“一网通办”和企业群众办事“只进一扇门”“最多跑一次”，扎实推进“一门一网”政务服务模式，加强政务信息系统整合共享、审批服务便民化和建设一体化在线政务服务平台等工作，不断满足企业群众的实际需求，不断提高政府效能。</w:t>
      </w:r>
    </w:p>
    <w:p>
      <w:pPr>
        <w:pStyle w:val="4"/>
        <w:keepNext w:val="0"/>
        <w:keepLines w:val="0"/>
        <w:spacing w:before="0" w:after="0" w:line="560" w:lineRule="exact"/>
        <w:ind w:left="567"/>
        <w:rPr>
          <w:rFonts w:ascii="仿宋_GB2312" w:hAnsi="楷体" w:eastAsia="仿宋_GB2312"/>
          <w:color w:val="000000" w:themeColor="text1"/>
          <w14:textFill>
            <w14:solidFill>
              <w14:schemeClr w14:val="tx1"/>
            </w14:solidFill>
          </w14:textFill>
        </w:rPr>
      </w:pPr>
      <w:bookmarkStart w:id="6" w:name="_Toc57015418"/>
      <w:bookmarkStart w:id="7" w:name="_Toc72936818"/>
      <w:bookmarkStart w:id="8" w:name="_Toc64863192"/>
      <w:bookmarkStart w:id="9" w:name="_Toc57598671"/>
      <w:bookmarkStart w:id="10" w:name="_Toc68615326"/>
      <w:bookmarkStart w:id="11" w:name="_Toc64873689"/>
      <w:bookmarkStart w:id="12" w:name="_Toc57929298"/>
      <w:bookmarkStart w:id="13" w:name="_Toc57017142"/>
      <w:bookmarkStart w:id="14" w:name="_Toc58916825"/>
      <w:bookmarkStart w:id="15" w:name="_Toc63302973"/>
      <w:bookmarkStart w:id="16" w:name="_Toc56903756"/>
      <w:bookmarkStart w:id="17" w:name="_Toc63751385"/>
      <w:bookmarkStart w:id="18" w:name="_Toc59121333"/>
      <w:bookmarkStart w:id="19" w:name="_Toc64866054"/>
      <w:bookmarkStart w:id="20" w:name="_Toc75790474"/>
      <w:bookmarkStart w:id="21" w:name="_Toc58933661"/>
      <w:bookmarkStart w:id="22" w:name="_Toc67470105"/>
      <w:bookmarkStart w:id="23" w:name="_Toc58569927"/>
      <w:r>
        <w:rPr>
          <w:rFonts w:ascii="仿宋_GB2312" w:hAnsi="楷体" w:eastAsia="仿宋_GB2312"/>
          <w:color w:val="000000" w:themeColor="text1"/>
          <w14:textFill>
            <w14:solidFill>
              <w14:schemeClr w14:val="tx1"/>
            </w14:solidFill>
          </w14:textFill>
        </w:rPr>
        <w:t>1</w:t>
      </w:r>
      <w:r>
        <w:rPr>
          <w:rFonts w:hint="eastAsia" w:ascii="仿宋_GB2312" w:hAnsi="楷体" w:eastAsia="仿宋_GB2312"/>
          <w:color w:val="000000" w:themeColor="text1"/>
          <w14:textFill>
            <w14:solidFill>
              <w14:schemeClr w14:val="tx1"/>
            </w14:solidFill>
          </w14:textFill>
        </w:rPr>
        <w:t>.经开区</w:t>
      </w:r>
      <w:r>
        <w:rPr>
          <w:rFonts w:ascii="仿宋_GB2312" w:hAnsi="楷体" w:eastAsia="仿宋_GB2312"/>
          <w:color w:val="000000" w:themeColor="text1"/>
          <w14:textFill>
            <w14:solidFill>
              <w14:schemeClr w14:val="tx1"/>
            </w14:solidFill>
          </w14:textFill>
        </w:rPr>
        <w:t>经济发展现状</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14:textFill>
            <w14:solidFill>
              <w14:schemeClr w14:val="tx1"/>
            </w14:solidFill>
          </w14:textFill>
        </w:rPr>
      </w:pPr>
      <w:r>
        <w:rPr>
          <w:rFonts w:hint="eastAsia" w:ascii="仿宋_GB2312" w:hAnsi="仿宋" w:eastAsia="仿宋_GB2312" w:cs="E-BX"/>
          <w:color w:val="000000" w:themeColor="text1"/>
          <w:kern w:val="0"/>
          <w:sz w:val="32"/>
          <w:szCs w:val="32"/>
          <w14:textFill>
            <w14:solidFill>
              <w14:schemeClr w14:val="tx1"/>
            </w14:solidFill>
          </w14:textFill>
        </w:rPr>
        <w:t>经开区由建成区及东海岛、硇洲岛、东头山岛和南屏岛等区域组成</w:t>
      </w:r>
      <w:r>
        <w:rPr>
          <w:rFonts w:ascii="仿宋_GB2312" w:hAnsi="仿宋" w:eastAsia="仿宋_GB2312" w:cs="E-BX"/>
          <w:color w:val="000000" w:themeColor="text1"/>
          <w:kern w:val="0"/>
          <w:sz w:val="32"/>
          <w:szCs w:val="32"/>
          <w14:textFill>
            <w14:solidFill>
              <w14:schemeClr w14:val="tx1"/>
            </w14:solidFill>
          </w14:textFill>
        </w:rPr>
        <w:t>，下辖1个镇、5个街道</w:t>
      </w:r>
      <w:r>
        <w:rPr>
          <w:rFonts w:hint="eastAsia" w:ascii="仿宋_GB2312" w:hAnsi="仿宋" w:eastAsia="仿宋_GB2312" w:cs="E-BX"/>
          <w:color w:val="000000" w:themeColor="text1"/>
          <w:kern w:val="0"/>
          <w:sz w:val="32"/>
          <w:szCs w:val="32"/>
          <w14:textFill>
            <w14:solidFill>
              <w14:schemeClr w14:val="tx1"/>
            </w14:solidFill>
          </w14:textFill>
        </w:rPr>
        <w:t>。</w:t>
      </w:r>
      <w:r>
        <w:rPr>
          <w:rFonts w:ascii="仿宋_GB2312" w:hAnsi="仿宋" w:eastAsia="仿宋_GB2312" w:cs="E-BX"/>
          <w:color w:val="000000" w:themeColor="text1"/>
          <w:kern w:val="0"/>
          <w:sz w:val="32"/>
          <w:szCs w:val="32"/>
          <w14:textFill>
            <w14:solidFill>
              <w14:schemeClr w14:val="tx1"/>
            </w14:solidFill>
          </w14:textFill>
        </w:rPr>
        <w:t>建成区</w:t>
      </w:r>
      <w:r>
        <w:rPr>
          <w:rFonts w:hint="eastAsia" w:ascii="仿宋_GB2312" w:hAnsi="仿宋" w:eastAsia="仿宋_GB2312" w:cs="E-BX"/>
          <w:color w:val="000000" w:themeColor="text1"/>
          <w:kern w:val="0"/>
          <w:sz w:val="32"/>
          <w:szCs w:val="32"/>
          <w14:textFill>
            <w14:solidFill>
              <w14:schemeClr w14:val="tx1"/>
            </w14:solidFill>
          </w14:textFill>
        </w:rPr>
        <w:t>以区域性商业中心集聚区建设为核心，形成了商务、金融、休闲文化、现代服务业中心和企业总部的格局。东海岛按照“一城三区三基地和六大主体功能区”的布局定位，形成了以临海钢铁和临海石化两大产业为主导。硇洲岛、东头山岛及南屏岛主要为建成区和东海岛做好旅游、生活和产业配套服务。宝钢湛江钢铁、中科炼化、德国巴斯夫新型一体化石化基地、中国纸业等总投资超过千亿元的重大项目陆续建成投产动工建设，带动一大批上下游配套项目落户经开区，产业集聚效应日渐显著。2</w:t>
      </w:r>
      <w:r>
        <w:rPr>
          <w:rFonts w:ascii="仿宋_GB2312" w:hAnsi="仿宋" w:eastAsia="仿宋_GB2312" w:cs="E-BX"/>
          <w:color w:val="000000" w:themeColor="text1"/>
          <w:kern w:val="0"/>
          <w:sz w:val="32"/>
          <w:szCs w:val="32"/>
          <w14:textFill>
            <w14:solidFill>
              <w14:schemeClr w14:val="tx1"/>
            </w14:solidFill>
          </w14:textFill>
        </w:rPr>
        <w:t>021</w:t>
      </w:r>
      <w:r>
        <w:rPr>
          <w:rFonts w:hint="eastAsia" w:ascii="仿宋_GB2312" w:hAnsi="仿宋" w:eastAsia="仿宋_GB2312" w:cs="E-BX"/>
          <w:color w:val="000000" w:themeColor="text1"/>
          <w:kern w:val="0"/>
          <w:sz w:val="32"/>
          <w:szCs w:val="32"/>
          <w14:textFill>
            <w14:solidFill>
              <w14:schemeClr w14:val="tx1"/>
            </w14:solidFill>
          </w14:textFill>
        </w:rPr>
        <w:t>年2月东海岛十大工业项目举行集中开工活动，涵盖高端制造、环保节能、精细化工等多个领域，总投资额达73亿元，全部达产后预计年产值达129亿元，为湛江市加大招商引资、推进高质量发展、抓好“六稳”工作、落实“六保”任务树立了标杆。目前已形成以钢铁、石油化工、特种纸业、生物医药、机械电器、海洋高新、食品</w:t>
      </w:r>
      <w:r>
        <w:fldChar w:fldCharType="begin"/>
      </w:r>
      <w:r>
        <w:instrText xml:space="preserve"> HYPERLINK "https://f.qianzhan.com/keyan/report/1612191129265805.html" \t "_blank" </w:instrText>
      </w:r>
      <w:r>
        <w:fldChar w:fldCharType="separate"/>
      </w:r>
      <w:r>
        <w:rPr>
          <w:rFonts w:hint="eastAsia" w:ascii="仿宋_GB2312" w:hAnsi="仿宋" w:eastAsia="仿宋_GB2312" w:cs="E-BX"/>
          <w:color w:val="000000" w:themeColor="text1"/>
          <w:kern w:val="0"/>
          <w:sz w:val="32"/>
          <w:szCs w:val="32"/>
          <w14:textFill>
            <w14:solidFill>
              <w14:schemeClr w14:val="tx1"/>
            </w14:solidFill>
          </w14:textFill>
        </w:rPr>
        <w:t>饮料</w:t>
      </w:r>
      <w:r>
        <w:rPr>
          <w:rFonts w:hint="eastAsia" w:ascii="仿宋_GB2312" w:hAnsi="仿宋" w:eastAsia="仿宋_GB2312" w:cs="E-BX"/>
          <w:color w:val="000000" w:themeColor="text1"/>
          <w:kern w:val="0"/>
          <w:sz w:val="32"/>
          <w:szCs w:val="32"/>
          <w14:textFill>
            <w14:solidFill>
              <w14:schemeClr w14:val="tx1"/>
            </w14:solidFill>
          </w14:textFill>
        </w:rPr>
        <w:fldChar w:fldCharType="end"/>
      </w:r>
      <w:r>
        <w:rPr>
          <w:rFonts w:hint="eastAsia" w:ascii="仿宋_GB2312" w:hAnsi="仿宋" w:eastAsia="仿宋_GB2312" w:cs="E-BX"/>
          <w:color w:val="000000" w:themeColor="text1"/>
          <w:kern w:val="0"/>
          <w:sz w:val="32"/>
          <w:szCs w:val="32"/>
          <w14:textFill>
            <w14:solidFill>
              <w14:schemeClr w14:val="tx1"/>
            </w14:solidFill>
          </w14:textFill>
        </w:rPr>
        <w:t>、现代服务等八大产业</w:t>
      </w:r>
      <w:r>
        <w:rPr>
          <w:rFonts w:ascii="仿宋_GB2312" w:hAnsi="仿宋" w:eastAsia="仿宋_GB2312" w:cs="E-BX"/>
          <w:color w:val="000000" w:themeColor="text1"/>
          <w:kern w:val="0"/>
          <w:sz w:val="32"/>
          <w:szCs w:val="32"/>
          <w14:textFill>
            <w14:solidFill>
              <w14:schemeClr w14:val="tx1"/>
            </w14:solidFill>
          </w14:textFill>
        </w:rPr>
        <w:t>为支柱的外向型新兴经济区</w:t>
      </w:r>
      <w:r>
        <w:rPr>
          <w:rFonts w:hint="eastAsia" w:ascii="仿宋_GB2312" w:hAnsi="仿宋" w:eastAsia="仿宋_GB2312" w:cs="E-BX"/>
          <w:color w:val="000000" w:themeColor="text1"/>
          <w:kern w:val="0"/>
          <w:sz w:val="32"/>
          <w:szCs w:val="32"/>
          <w14:textFill>
            <w14:solidFill>
              <w14:schemeClr w14:val="tx1"/>
            </w14:solidFill>
          </w14:textFill>
        </w:rPr>
        <w:t>的发展格局</w:t>
      </w:r>
      <w:r>
        <w:rPr>
          <w:rFonts w:ascii="仿宋_GB2312" w:hAnsi="仿宋" w:eastAsia="仿宋_GB2312" w:cs="E-BX"/>
          <w:color w:val="000000" w:themeColor="text1"/>
          <w:kern w:val="0"/>
          <w:sz w:val="32"/>
          <w:szCs w:val="32"/>
          <w14:textFill>
            <w14:solidFill>
              <w14:schemeClr w14:val="tx1"/>
            </w14:solidFill>
          </w14:textFill>
        </w:rPr>
        <w:t>。</w:t>
      </w:r>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14:textFill>
            <w14:solidFill>
              <w14:schemeClr w14:val="tx1"/>
            </w14:solidFill>
          </w14:textFill>
        </w:rPr>
      </w:pPr>
      <w:r>
        <w:rPr>
          <w:rFonts w:hint="eastAsia" w:ascii="仿宋_GB2312" w:hAnsi="仿宋" w:eastAsia="仿宋_GB2312" w:cs="E-BX"/>
          <w:color w:val="000000" w:themeColor="text1"/>
          <w:kern w:val="0"/>
          <w:sz w:val="32"/>
          <w:szCs w:val="32"/>
          <w14:textFill>
            <w14:solidFill>
              <w14:schemeClr w14:val="tx1"/>
            </w14:solidFill>
          </w14:textFill>
        </w:rPr>
        <w:t>“十三五”时期，全区累计完成地区生产总值1972.44亿元，2020年经开区积极应对新冠疫情的不利影响，以稳中求进为总基调，不断调整优化经济结构，完成地区生产总值473亿元，比2015年增加223亿元，年均增长11.7%；规模以上工业总产值年均增长22.1%；规模以上工业增加值年均增长27.7%；固定资产投资年均增长3.1%；外贸进出口总额翻了近一番；实际利用外资翻了一番；公共财政预算收入年均增长5.7%。主要经济社会发展指标居湛江市首位，成为湛江最有活力的经济增长极。经济发展态势稳步向好，将为经开区“数字政府”改革建设提供强有力的经济支撑。</w:t>
      </w:r>
    </w:p>
    <w:p>
      <w:pPr>
        <w:pStyle w:val="4"/>
        <w:keepNext w:val="0"/>
        <w:keepLines w:val="0"/>
        <w:spacing w:before="0" w:after="0" w:line="560" w:lineRule="exact"/>
        <w:ind w:left="567"/>
        <w:rPr>
          <w:rFonts w:ascii="仿宋_GB2312" w:hAnsi="楷体" w:eastAsia="仿宋_GB2312"/>
          <w:color w:val="000000" w:themeColor="text1"/>
          <w14:textFill>
            <w14:solidFill>
              <w14:schemeClr w14:val="tx1"/>
            </w14:solidFill>
          </w14:textFill>
        </w:rPr>
      </w:pPr>
      <w:bookmarkStart w:id="24" w:name="_Toc64873690"/>
      <w:bookmarkStart w:id="25" w:name="_Toc67470106"/>
      <w:bookmarkStart w:id="26" w:name="_Toc57598672"/>
      <w:bookmarkStart w:id="27" w:name="_Toc58569928"/>
      <w:bookmarkStart w:id="28" w:name="_Toc63302974"/>
      <w:bookmarkStart w:id="29" w:name="_Toc64863193"/>
      <w:bookmarkStart w:id="30" w:name="_Toc58933662"/>
      <w:bookmarkStart w:id="31" w:name="_Toc57017143"/>
      <w:bookmarkStart w:id="32" w:name="_Toc57929299"/>
      <w:bookmarkStart w:id="33" w:name="_Toc56903757"/>
      <w:bookmarkStart w:id="34" w:name="_Toc64866055"/>
      <w:bookmarkStart w:id="35" w:name="_Toc75790475"/>
      <w:bookmarkStart w:id="36" w:name="_Toc57015419"/>
      <w:bookmarkStart w:id="37" w:name="_Toc56410707"/>
      <w:bookmarkStart w:id="38" w:name="_Toc58916826"/>
      <w:bookmarkStart w:id="39" w:name="_Toc63751386"/>
      <w:bookmarkStart w:id="40" w:name="_Toc68615327"/>
      <w:bookmarkStart w:id="41" w:name="_Toc72936819"/>
      <w:bookmarkStart w:id="42" w:name="_Toc59121334"/>
      <w:r>
        <w:rPr>
          <w:rFonts w:ascii="仿宋_GB2312" w:hAnsi="楷体" w:eastAsia="仿宋_GB2312"/>
          <w:color w:val="000000" w:themeColor="text1"/>
          <w14:textFill>
            <w14:solidFill>
              <w14:schemeClr w14:val="tx1"/>
            </w14:solidFill>
          </w14:textFill>
        </w:rPr>
        <w:t>2</w:t>
      </w:r>
      <w:r>
        <w:rPr>
          <w:rFonts w:hint="eastAsia" w:ascii="仿宋_GB2312" w:hAnsi="楷体" w:eastAsia="仿宋_GB2312"/>
          <w:color w:val="000000" w:themeColor="text1"/>
          <w14:textFill>
            <w14:solidFill>
              <w14:schemeClr w14:val="tx1"/>
            </w14:solidFill>
          </w14:textFill>
        </w:rPr>
        <w:t>.经开区“数字政府”发展基础</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pPr>
        <w:autoSpaceDE w:val="0"/>
        <w:autoSpaceDN w:val="0"/>
        <w:adjustRightInd w:val="0"/>
        <w:spacing w:line="560" w:lineRule="exact"/>
        <w:ind w:firstLine="643" w:firstLineChars="200"/>
        <w:rPr>
          <w:rFonts w:ascii="仿宋_GB2312" w:hAnsi="仿宋" w:eastAsia="仿宋_GB2312" w:cs="E-BX"/>
          <w:color w:val="000000" w:themeColor="text1"/>
          <w:kern w:val="0"/>
          <w:sz w:val="32"/>
          <w:szCs w:val="32"/>
          <w14:textFill>
            <w14:solidFill>
              <w14:schemeClr w14:val="tx1"/>
            </w14:solidFill>
          </w14:textFill>
        </w:rPr>
      </w:pPr>
      <w:r>
        <w:rPr>
          <w:rFonts w:hint="eastAsia" w:ascii="仿宋_GB2312" w:hAnsi="仿宋" w:eastAsia="仿宋_GB2312" w:cs="E-BX"/>
          <w:b/>
          <w:bCs/>
          <w:color w:val="000000" w:themeColor="text1"/>
          <w:kern w:val="0"/>
          <w:sz w:val="32"/>
          <w:szCs w:val="32"/>
          <w14:textFill>
            <w14:solidFill>
              <w14:schemeClr w14:val="tx1"/>
            </w14:solidFill>
          </w14:textFill>
        </w:rPr>
        <w:t>基础设施建设初具成效。</w:t>
      </w:r>
      <w:r>
        <w:rPr>
          <w:rFonts w:hint="eastAsia" w:ascii="仿宋_GB2312" w:hAnsi="仿宋" w:eastAsia="仿宋_GB2312" w:cs="E-BX"/>
          <w:color w:val="000000" w:themeColor="text1"/>
          <w:kern w:val="0"/>
          <w:sz w:val="32"/>
          <w:szCs w:val="32"/>
          <w14:textFill>
            <w14:solidFill>
              <w14:schemeClr w14:val="tx1"/>
            </w14:solidFill>
          </w14:textFill>
        </w:rPr>
        <w:t>截至2</w:t>
      </w:r>
      <w:r>
        <w:rPr>
          <w:rFonts w:ascii="仿宋_GB2312" w:hAnsi="仿宋" w:eastAsia="仿宋_GB2312" w:cs="E-BX"/>
          <w:color w:val="000000" w:themeColor="text1"/>
          <w:kern w:val="0"/>
          <w:sz w:val="32"/>
          <w:szCs w:val="32"/>
          <w14:textFill>
            <w14:solidFill>
              <w14:schemeClr w14:val="tx1"/>
            </w14:solidFill>
          </w14:textFill>
        </w:rPr>
        <w:t>020</w:t>
      </w:r>
      <w:r>
        <w:rPr>
          <w:rFonts w:hint="eastAsia" w:ascii="仿宋_GB2312" w:hAnsi="仿宋" w:eastAsia="仿宋_GB2312" w:cs="E-BX"/>
          <w:color w:val="000000" w:themeColor="text1"/>
          <w:kern w:val="0"/>
          <w:sz w:val="32"/>
          <w:szCs w:val="32"/>
          <w14:textFill>
            <w14:solidFill>
              <w14:schemeClr w14:val="tx1"/>
            </w14:solidFill>
          </w14:textFill>
        </w:rPr>
        <w:t>年底，政务外网线路已覆盖至</w:t>
      </w:r>
      <w:r>
        <w:rPr>
          <w:rFonts w:ascii="仿宋_GB2312" w:hAnsi="仿宋" w:eastAsia="仿宋_GB2312" w:cs="E-BX"/>
          <w:color w:val="000000" w:themeColor="text1"/>
          <w:kern w:val="0"/>
          <w:sz w:val="32"/>
          <w:szCs w:val="32"/>
          <w14:textFill>
            <w14:solidFill>
              <w14:schemeClr w14:val="tx1"/>
            </w14:solidFill>
          </w14:textFill>
        </w:rPr>
        <w:t>28</w:t>
      </w:r>
      <w:r>
        <w:rPr>
          <w:rFonts w:hint="eastAsia" w:ascii="仿宋_GB2312" w:hAnsi="仿宋" w:eastAsia="仿宋_GB2312" w:cs="E-BX"/>
          <w:color w:val="000000" w:themeColor="text1"/>
          <w:kern w:val="0"/>
          <w:sz w:val="32"/>
          <w:szCs w:val="32"/>
          <w14:textFill>
            <w14:solidFill>
              <w14:schemeClr w14:val="tx1"/>
            </w14:solidFill>
          </w14:textFill>
        </w:rPr>
        <w:t>家区级单位、</w:t>
      </w:r>
      <w:r>
        <w:rPr>
          <w:rFonts w:ascii="仿宋_GB2312" w:hAnsi="仿宋" w:eastAsia="仿宋_GB2312" w:cs="E-BX"/>
          <w:color w:val="000000" w:themeColor="text1"/>
          <w:kern w:val="0"/>
          <w:sz w:val="32"/>
          <w:szCs w:val="32"/>
          <w14:textFill>
            <w14:solidFill>
              <w14:schemeClr w14:val="tx1"/>
            </w14:solidFill>
          </w14:textFill>
        </w:rPr>
        <w:t>6</w:t>
      </w:r>
      <w:r>
        <w:rPr>
          <w:rFonts w:hint="eastAsia" w:ascii="仿宋_GB2312" w:hAnsi="仿宋" w:eastAsia="仿宋_GB2312" w:cs="E-BX"/>
          <w:color w:val="000000" w:themeColor="text1"/>
          <w:kern w:val="0"/>
          <w:sz w:val="32"/>
          <w:szCs w:val="32"/>
          <w14:textFill>
            <w14:solidFill>
              <w14:schemeClr w14:val="tx1"/>
            </w14:solidFill>
          </w14:textFill>
        </w:rPr>
        <w:t>个街道（镇）和</w:t>
      </w:r>
      <w:r>
        <w:rPr>
          <w:rFonts w:ascii="仿宋_GB2312" w:hAnsi="仿宋" w:eastAsia="仿宋_GB2312" w:cs="E-BX"/>
          <w:color w:val="000000" w:themeColor="text1"/>
          <w:kern w:val="0"/>
          <w:sz w:val="32"/>
          <w:szCs w:val="32"/>
          <w14:textFill>
            <w14:solidFill>
              <w14:schemeClr w14:val="tx1"/>
            </w14:solidFill>
          </w14:textFill>
        </w:rPr>
        <w:t>50</w:t>
      </w:r>
      <w:r>
        <w:rPr>
          <w:rFonts w:hint="eastAsia" w:ascii="仿宋_GB2312" w:hAnsi="仿宋" w:eastAsia="仿宋_GB2312" w:cs="E-BX"/>
          <w:color w:val="000000" w:themeColor="text1"/>
          <w:kern w:val="0"/>
          <w:sz w:val="32"/>
          <w:szCs w:val="32"/>
          <w14:textFill>
            <w14:solidFill>
              <w14:schemeClr w14:val="tx1"/>
            </w14:solidFill>
          </w14:textFill>
        </w:rPr>
        <w:t>个村（居），政务外网接入单位数量</w:t>
      </w:r>
      <w:r>
        <w:rPr>
          <w:rFonts w:ascii="仿宋_GB2312" w:hAnsi="仿宋" w:eastAsia="仿宋_GB2312" w:cs="E-BX"/>
          <w:color w:val="000000" w:themeColor="text1"/>
          <w:kern w:val="0"/>
          <w:sz w:val="32"/>
          <w:szCs w:val="32"/>
          <w14:textFill>
            <w14:solidFill>
              <w14:schemeClr w14:val="tx1"/>
            </w14:solidFill>
          </w14:textFill>
        </w:rPr>
        <w:t>108</w:t>
      </w:r>
      <w:r>
        <w:rPr>
          <w:rFonts w:hint="eastAsia" w:ascii="仿宋_GB2312" w:hAnsi="仿宋" w:eastAsia="仿宋_GB2312" w:cs="E-BX"/>
          <w:color w:val="000000" w:themeColor="text1"/>
          <w:kern w:val="0"/>
          <w:sz w:val="32"/>
          <w:szCs w:val="32"/>
          <w14:textFill>
            <w14:solidFill>
              <w14:schemeClr w14:val="tx1"/>
            </w14:solidFill>
          </w14:textFill>
        </w:rPr>
        <w:t>个，实现“横向到边，纵向到底”的政务网络全覆盖。同时完成全区的电子政务专网建设，实现上联市、省、国家，下联街道（镇）、村（居）。全区光网实现100%覆盖，街道（镇）、行政村全部通达光网，4G网络全面覆盖乡镇。5G产业发展取得新成果，成立“经开区加快5G产业发展联席会议制度”，全区已完成235个5G基站建设，“宝钢湛江钢铁5G智慧钢厂”项目获工信部“绽放杯”5G应用大赛一等奖，产业园区5G覆盖率已达47.6%。感知体系建设稳步推进，目前已经在公安、交通、城管等领域实现了部分重点路段、重点区域的监控。</w:t>
      </w:r>
    </w:p>
    <w:p>
      <w:pPr>
        <w:autoSpaceDE w:val="0"/>
        <w:autoSpaceDN w:val="0"/>
        <w:adjustRightInd w:val="0"/>
        <w:spacing w:line="560" w:lineRule="exact"/>
        <w:ind w:firstLine="643" w:firstLineChars="200"/>
        <w:rPr>
          <w:rFonts w:ascii="仿宋_GB2312" w:hAnsi="仿宋" w:eastAsia="仿宋_GB2312" w:cs="E-BX"/>
          <w:color w:val="000000" w:themeColor="text1"/>
          <w:kern w:val="0"/>
          <w:sz w:val="32"/>
          <w:szCs w:val="32"/>
          <w14:textFill>
            <w14:solidFill>
              <w14:schemeClr w14:val="tx1"/>
            </w14:solidFill>
          </w14:textFill>
        </w:rPr>
      </w:pPr>
      <w:r>
        <w:rPr>
          <w:rFonts w:hint="eastAsia" w:ascii="仿宋_GB2312" w:hAnsi="仿宋" w:eastAsia="仿宋_GB2312" w:cs="E-BX"/>
          <w:b/>
          <w:bCs/>
          <w:color w:val="000000" w:themeColor="text1"/>
          <w:kern w:val="0"/>
          <w:sz w:val="32"/>
          <w:szCs w:val="32"/>
          <w14:textFill>
            <w14:solidFill>
              <w14:schemeClr w14:val="tx1"/>
            </w14:solidFill>
          </w14:textFill>
        </w:rPr>
        <w:t>政务服务水平逐步提升。</w:t>
      </w:r>
      <w:r>
        <w:rPr>
          <w:rFonts w:hint="eastAsia" w:ascii="仿宋_GB2312" w:hAnsi="仿宋" w:eastAsia="仿宋_GB2312" w:cs="E-BX"/>
          <w:color w:val="000000" w:themeColor="text1"/>
          <w:kern w:val="0"/>
          <w:sz w:val="32"/>
          <w:szCs w:val="32"/>
          <w14:textFill>
            <w14:solidFill>
              <w14:schemeClr w14:val="tx1"/>
            </w14:solidFill>
          </w14:textFill>
        </w:rPr>
        <w:t>截至2</w:t>
      </w:r>
      <w:r>
        <w:rPr>
          <w:rFonts w:ascii="仿宋_GB2312" w:hAnsi="仿宋" w:eastAsia="仿宋_GB2312" w:cs="E-BX"/>
          <w:color w:val="000000" w:themeColor="text1"/>
          <w:kern w:val="0"/>
          <w:sz w:val="32"/>
          <w:szCs w:val="32"/>
          <w14:textFill>
            <w14:solidFill>
              <w14:schemeClr w14:val="tx1"/>
            </w14:solidFill>
          </w14:textFill>
        </w:rPr>
        <w:t>020</w:t>
      </w:r>
      <w:r>
        <w:rPr>
          <w:rFonts w:hint="eastAsia" w:ascii="仿宋_GB2312" w:hAnsi="仿宋" w:eastAsia="仿宋_GB2312" w:cs="E-BX"/>
          <w:color w:val="000000" w:themeColor="text1"/>
          <w:kern w:val="0"/>
          <w:sz w:val="32"/>
          <w:szCs w:val="32"/>
          <w14:textFill>
            <w14:solidFill>
              <w14:schemeClr w14:val="tx1"/>
            </w14:solidFill>
          </w14:textFill>
        </w:rPr>
        <w:t>年底，全力推进“放管服”改革，设立“政务服务首席代表”、企业专区及“一窗式”综合服务窗口。全面推行“一线工作法”，区党政班子成员挂点服务56家规上企业，有效解决了中科炼化、湛江钢铁、双林生物等企业的一系列实际困难。全区</w:t>
      </w:r>
      <w:r>
        <w:rPr>
          <w:rFonts w:ascii="仿宋_GB2312" w:hAnsi="仿宋" w:eastAsia="仿宋_GB2312" w:cs="E-BX"/>
          <w:color w:val="000000" w:themeColor="text1"/>
          <w:kern w:val="0"/>
          <w:sz w:val="32"/>
          <w:szCs w:val="32"/>
          <w14:textFill>
            <w14:solidFill>
              <w14:schemeClr w14:val="tx1"/>
            </w14:solidFill>
          </w14:textFill>
        </w:rPr>
        <w:t>在政务服务大厅</w:t>
      </w:r>
      <w:r>
        <w:rPr>
          <w:rFonts w:hint="eastAsia" w:ascii="仿宋_GB2312" w:hAnsi="仿宋" w:eastAsia="仿宋_GB2312" w:cs="E-BX"/>
          <w:color w:val="000000" w:themeColor="text1"/>
          <w:kern w:val="0"/>
          <w:sz w:val="32"/>
          <w:szCs w:val="32"/>
          <w14:textFill>
            <w14:solidFill>
              <w14:schemeClr w14:val="tx1"/>
            </w14:solidFill>
          </w14:textFill>
        </w:rPr>
        <w:t>和公共服务站点</w:t>
      </w:r>
      <w:r>
        <w:rPr>
          <w:rFonts w:ascii="仿宋_GB2312" w:hAnsi="仿宋" w:eastAsia="仿宋_GB2312" w:cs="E-BX"/>
          <w:color w:val="000000" w:themeColor="text1"/>
          <w:kern w:val="0"/>
          <w:sz w:val="32"/>
          <w:szCs w:val="32"/>
          <w14:textFill>
            <w14:solidFill>
              <w14:schemeClr w14:val="tx1"/>
            </w14:solidFill>
          </w14:textFill>
        </w:rPr>
        <w:t>共设置</w:t>
      </w:r>
      <w:r>
        <w:rPr>
          <w:rFonts w:hint="eastAsia" w:ascii="仿宋_GB2312" w:hAnsi="仿宋" w:eastAsia="仿宋_GB2312" w:cs="E-BX"/>
          <w:color w:val="000000" w:themeColor="text1"/>
          <w:kern w:val="0"/>
          <w:sz w:val="32"/>
          <w:szCs w:val="32"/>
          <w14:textFill>
            <w14:solidFill>
              <w14:schemeClr w14:val="tx1"/>
            </w14:solidFill>
          </w14:textFill>
        </w:rPr>
        <w:t>5</w:t>
      </w:r>
      <w:r>
        <w:rPr>
          <w:rFonts w:ascii="仿宋_GB2312" w:hAnsi="仿宋" w:eastAsia="仿宋_GB2312" w:cs="E-BX"/>
          <w:color w:val="000000" w:themeColor="text1"/>
          <w:kern w:val="0"/>
          <w:sz w:val="32"/>
          <w:szCs w:val="32"/>
          <w14:textFill>
            <w14:solidFill>
              <w14:schemeClr w14:val="tx1"/>
            </w14:solidFill>
          </w14:textFill>
        </w:rPr>
        <w:t>2个窗口，配</w:t>
      </w:r>
      <w:r>
        <w:rPr>
          <w:rFonts w:hint="eastAsia" w:ascii="仿宋_GB2312" w:hAnsi="仿宋" w:eastAsia="仿宋_GB2312" w:cs="E-BX"/>
          <w:color w:val="000000" w:themeColor="text1"/>
          <w:kern w:val="0"/>
          <w:sz w:val="32"/>
          <w:szCs w:val="32"/>
          <w14:textFill>
            <w14:solidFill>
              <w14:schemeClr w14:val="tx1"/>
            </w14:solidFill>
          </w14:textFill>
        </w:rPr>
        <w:t>备8</w:t>
      </w:r>
      <w:r>
        <w:rPr>
          <w:rFonts w:ascii="仿宋_GB2312" w:hAnsi="仿宋" w:eastAsia="仿宋_GB2312" w:cs="E-BX"/>
          <w:color w:val="000000" w:themeColor="text1"/>
          <w:kern w:val="0"/>
          <w:sz w:val="32"/>
          <w:szCs w:val="32"/>
          <w14:textFill>
            <w14:solidFill>
              <w14:schemeClr w14:val="tx1"/>
            </w14:solidFill>
          </w14:textFill>
        </w:rPr>
        <w:t>0</w:t>
      </w:r>
      <w:r>
        <w:rPr>
          <w:rFonts w:hint="eastAsia" w:ascii="仿宋_GB2312" w:hAnsi="仿宋" w:eastAsia="仿宋_GB2312" w:cs="E-BX"/>
          <w:color w:val="000000" w:themeColor="text1"/>
          <w:kern w:val="0"/>
          <w:sz w:val="32"/>
          <w:szCs w:val="32"/>
          <w14:textFill>
            <w14:solidFill>
              <w14:schemeClr w14:val="tx1"/>
            </w14:solidFill>
          </w14:textFill>
        </w:rPr>
        <w:t>名</w:t>
      </w:r>
      <w:r>
        <w:rPr>
          <w:rFonts w:ascii="仿宋_GB2312" w:hAnsi="仿宋" w:eastAsia="仿宋_GB2312" w:cs="E-BX"/>
          <w:color w:val="000000" w:themeColor="text1"/>
          <w:kern w:val="0"/>
          <w:sz w:val="32"/>
          <w:szCs w:val="32"/>
          <w14:textFill>
            <w14:solidFill>
              <w14:schemeClr w14:val="tx1"/>
            </w14:solidFill>
          </w14:textFill>
        </w:rPr>
        <w:t>窗口工作人员，进驻服务事项超过</w:t>
      </w:r>
      <w:r>
        <w:rPr>
          <w:rFonts w:hint="eastAsia" w:ascii="仿宋_GB2312" w:hAnsi="仿宋" w:eastAsia="仿宋_GB2312" w:cs="E-BX"/>
          <w:color w:val="000000" w:themeColor="text1"/>
          <w:kern w:val="0"/>
          <w:sz w:val="32"/>
          <w:szCs w:val="32"/>
          <w14:textFill>
            <w14:solidFill>
              <w14:schemeClr w14:val="tx1"/>
            </w14:solidFill>
          </w14:textFill>
        </w:rPr>
        <w:t>6</w:t>
      </w:r>
      <w:r>
        <w:rPr>
          <w:rFonts w:ascii="仿宋_GB2312" w:hAnsi="仿宋" w:eastAsia="仿宋_GB2312" w:cs="E-BX"/>
          <w:color w:val="000000" w:themeColor="text1"/>
          <w:kern w:val="0"/>
          <w:sz w:val="32"/>
          <w:szCs w:val="32"/>
          <w14:textFill>
            <w14:solidFill>
              <w14:schemeClr w14:val="tx1"/>
            </w14:solidFill>
          </w14:textFill>
        </w:rPr>
        <w:t>50项</w:t>
      </w:r>
      <w:r>
        <w:rPr>
          <w:rFonts w:hint="eastAsia" w:ascii="仿宋_GB2312" w:hAnsi="仿宋" w:eastAsia="仿宋_GB2312" w:cs="E-BX"/>
          <w:color w:val="000000" w:themeColor="text1"/>
          <w:kern w:val="0"/>
          <w:sz w:val="32"/>
          <w:szCs w:val="32"/>
          <w14:textFill>
            <w14:solidFill>
              <w14:schemeClr w14:val="tx1"/>
            </w14:solidFill>
          </w14:textFill>
        </w:rPr>
        <w:t>。进驻省政务服务网的区级部门有</w:t>
      </w:r>
      <w:r>
        <w:rPr>
          <w:rFonts w:ascii="仿宋_GB2312" w:hAnsi="仿宋" w:eastAsia="仿宋_GB2312" w:cs="E-BX"/>
          <w:color w:val="000000" w:themeColor="text1"/>
          <w:kern w:val="0"/>
          <w:sz w:val="32"/>
          <w:szCs w:val="32"/>
          <w14:textFill>
            <w14:solidFill>
              <w14:schemeClr w14:val="tx1"/>
            </w14:solidFill>
          </w14:textFill>
        </w:rPr>
        <w:t>21</w:t>
      </w:r>
      <w:r>
        <w:rPr>
          <w:rFonts w:hint="eastAsia" w:ascii="仿宋_GB2312" w:hAnsi="仿宋" w:eastAsia="仿宋_GB2312" w:cs="E-BX"/>
          <w:color w:val="000000" w:themeColor="text1"/>
          <w:kern w:val="0"/>
          <w:sz w:val="32"/>
          <w:szCs w:val="32"/>
          <w14:textFill>
            <w14:solidFill>
              <w14:schemeClr w14:val="tx1"/>
            </w14:solidFill>
          </w14:textFill>
        </w:rPr>
        <w:t>个，依申请办理类事项超过756项，行政许可</w:t>
      </w:r>
      <w:r>
        <w:rPr>
          <w:rFonts w:ascii="仿宋_GB2312" w:hAnsi="仿宋" w:eastAsia="仿宋_GB2312" w:cs="E-BX"/>
          <w:color w:val="000000" w:themeColor="text1"/>
          <w:kern w:val="0"/>
          <w:sz w:val="32"/>
          <w:szCs w:val="32"/>
          <w14:textFill>
            <w14:solidFill>
              <w14:schemeClr w14:val="tx1"/>
            </w14:solidFill>
          </w14:textFill>
        </w:rPr>
        <w:t>424</w:t>
      </w:r>
      <w:r>
        <w:rPr>
          <w:rFonts w:hint="eastAsia" w:ascii="仿宋_GB2312" w:hAnsi="仿宋" w:eastAsia="仿宋_GB2312" w:cs="E-BX"/>
          <w:color w:val="000000" w:themeColor="text1"/>
          <w:kern w:val="0"/>
          <w:sz w:val="32"/>
          <w:szCs w:val="32"/>
          <w14:textFill>
            <w14:solidFill>
              <w14:schemeClr w14:val="tx1"/>
            </w14:solidFill>
          </w14:textFill>
        </w:rPr>
        <w:t>项，公共服务</w:t>
      </w:r>
      <w:r>
        <w:rPr>
          <w:rFonts w:ascii="仿宋_GB2312" w:hAnsi="仿宋" w:eastAsia="仿宋_GB2312" w:cs="E-BX"/>
          <w:color w:val="000000" w:themeColor="text1"/>
          <w:kern w:val="0"/>
          <w:sz w:val="32"/>
          <w:szCs w:val="32"/>
          <w14:textFill>
            <w14:solidFill>
              <w14:schemeClr w14:val="tx1"/>
            </w14:solidFill>
          </w14:textFill>
        </w:rPr>
        <w:t>294</w:t>
      </w:r>
      <w:r>
        <w:rPr>
          <w:rFonts w:hint="eastAsia" w:ascii="仿宋_GB2312" w:hAnsi="仿宋" w:eastAsia="仿宋_GB2312" w:cs="E-BX"/>
          <w:color w:val="000000" w:themeColor="text1"/>
          <w:kern w:val="0"/>
          <w:sz w:val="32"/>
          <w:szCs w:val="32"/>
          <w14:textFill>
            <w14:solidFill>
              <w14:schemeClr w14:val="tx1"/>
            </w14:solidFill>
          </w14:textFill>
        </w:rPr>
        <w:t>项。疫情防控期间推出“不见面审批”服务，推行“银政通”“马上办”“网上办”“就近办”“一次办”“容缺受理”，100%商事登记事项可网上办理，实现办照“无纸化”、“零见面”和“零跑动”。</w:t>
      </w:r>
      <w:r>
        <w:rPr>
          <w:rFonts w:hint="eastAsia" w:ascii="仿宋_GB2312" w:hAnsi="仿宋_GB2312" w:eastAsia="仿宋_GB2312" w:cs="仿宋_GB2312"/>
          <w:color w:val="000000" w:themeColor="text1"/>
          <w:sz w:val="32"/>
          <w:szCs w:val="32"/>
          <w14:textFill>
            <w14:solidFill>
              <w14:schemeClr w14:val="tx1"/>
            </w14:solidFill>
          </w14:textFill>
        </w:rPr>
        <w:t>100%行政事项可网上办理，1088项政务服务事项可“一网通办”。</w:t>
      </w:r>
      <w:r>
        <w:rPr>
          <w:rFonts w:hint="eastAsia" w:ascii="仿宋_GB2312" w:hAnsi="仿宋" w:eastAsia="仿宋_GB2312" w:cs="E-BX"/>
          <w:color w:val="000000" w:themeColor="text1"/>
          <w:kern w:val="0"/>
          <w:sz w:val="32"/>
          <w:szCs w:val="32"/>
          <w14:textFill>
            <w14:solidFill>
              <w14:schemeClr w14:val="tx1"/>
            </w14:solidFill>
          </w14:textFill>
        </w:rPr>
        <w:t>优化审批流程，办理营业执照审批时限由7个工作日压缩至1个工作日，80%事项“最多跑一次”。</w:t>
      </w:r>
      <w:r>
        <w:rPr>
          <w:rFonts w:hint="eastAsia" w:ascii="仿宋_GB2312" w:hAnsi="仿宋_GB2312" w:eastAsia="仿宋_GB2312" w:cs="仿宋_GB2312"/>
          <w:color w:val="000000" w:themeColor="text1"/>
          <w:sz w:val="32"/>
          <w:szCs w:val="32"/>
          <w14:textFill>
            <w14:solidFill>
              <w14:schemeClr w14:val="tx1"/>
            </w14:solidFill>
          </w14:textFill>
        </w:rPr>
        <w:t>新登记注册市场主体4327户，累计达到22653户，同比增长26%。</w:t>
      </w:r>
    </w:p>
    <w:p>
      <w:pPr>
        <w:autoSpaceDE w:val="0"/>
        <w:autoSpaceDN w:val="0"/>
        <w:adjustRightInd w:val="0"/>
        <w:spacing w:line="560" w:lineRule="exact"/>
        <w:ind w:firstLine="643" w:firstLineChars="200"/>
        <w:rPr>
          <w:rFonts w:ascii="仿宋_GB2312" w:hAnsi="仿宋" w:eastAsia="仿宋_GB2312" w:cs="E-BX"/>
          <w:b/>
          <w:bCs/>
          <w:color w:val="000000" w:themeColor="text1"/>
          <w:kern w:val="0"/>
          <w:sz w:val="32"/>
          <w:szCs w:val="32"/>
          <w14:textFill>
            <w14:solidFill>
              <w14:schemeClr w14:val="tx1"/>
            </w14:solidFill>
          </w14:textFill>
        </w:rPr>
      </w:pPr>
      <w:r>
        <w:rPr>
          <w:rFonts w:hint="eastAsia" w:ascii="仿宋_GB2312" w:hAnsi="仿宋" w:eastAsia="仿宋_GB2312" w:cs="E-BX"/>
          <w:b/>
          <w:bCs/>
          <w:color w:val="000000" w:themeColor="text1"/>
          <w:kern w:val="0"/>
          <w:sz w:val="32"/>
          <w:szCs w:val="32"/>
          <w14:textFill>
            <w14:solidFill>
              <w14:schemeClr w14:val="tx1"/>
            </w14:solidFill>
          </w14:textFill>
        </w:rPr>
        <w:t>信息化应用程度逐步提高。</w:t>
      </w:r>
      <w:r>
        <w:rPr>
          <w:rFonts w:hint="eastAsia" w:ascii="仿宋_GB2312" w:hAnsi="仿宋" w:eastAsia="仿宋_GB2312" w:cs="E-BX"/>
          <w:color w:val="000000" w:themeColor="text1"/>
          <w:kern w:val="0"/>
          <w:sz w:val="32"/>
          <w:szCs w:val="32"/>
          <w14:textFill>
            <w14:solidFill>
              <w14:schemeClr w14:val="tx1"/>
            </w14:solidFill>
          </w14:textFill>
        </w:rPr>
        <w:t>经开区目前正在使用的政务信息系统共有</w:t>
      </w:r>
      <w:r>
        <w:rPr>
          <w:rFonts w:ascii="仿宋_GB2312" w:hAnsi="仿宋" w:eastAsia="仿宋_GB2312" w:cs="E-BX"/>
          <w:color w:val="000000" w:themeColor="text1"/>
          <w:kern w:val="0"/>
          <w:sz w:val="32"/>
          <w:szCs w:val="32"/>
          <w14:textFill>
            <w14:solidFill>
              <w14:schemeClr w14:val="tx1"/>
            </w14:solidFill>
          </w14:textFill>
        </w:rPr>
        <w:t>125</w:t>
      </w:r>
      <w:r>
        <w:rPr>
          <w:rFonts w:hint="eastAsia" w:ascii="仿宋_GB2312" w:hAnsi="仿宋" w:eastAsia="仿宋_GB2312" w:cs="E-BX"/>
          <w:color w:val="000000" w:themeColor="text1"/>
          <w:kern w:val="0"/>
          <w:sz w:val="32"/>
          <w:szCs w:val="32"/>
          <w14:textFill>
            <w14:solidFill>
              <w14:schemeClr w14:val="tx1"/>
            </w14:solidFill>
          </w14:textFill>
        </w:rPr>
        <w:t>个，其中国家统建30个，省统建60个，市统建19个，区自建</w:t>
      </w:r>
      <w:r>
        <w:rPr>
          <w:rFonts w:ascii="仿宋_GB2312" w:hAnsi="仿宋" w:eastAsia="仿宋_GB2312" w:cs="E-BX"/>
          <w:color w:val="000000" w:themeColor="text1"/>
          <w:kern w:val="0"/>
          <w:sz w:val="32"/>
          <w:szCs w:val="32"/>
          <w14:textFill>
            <w14:solidFill>
              <w14:schemeClr w14:val="tx1"/>
            </w14:solidFill>
          </w14:textFill>
        </w:rPr>
        <w:t>16</w:t>
      </w:r>
      <w:r>
        <w:rPr>
          <w:rFonts w:hint="eastAsia" w:ascii="仿宋_GB2312" w:hAnsi="仿宋" w:eastAsia="仿宋_GB2312" w:cs="E-BX"/>
          <w:color w:val="000000" w:themeColor="text1"/>
          <w:kern w:val="0"/>
          <w:sz w:val="32"/>
          <w:szCs w:val="32"/>
          <w14:textFill>
            <w14:solidFill>
              <w14:schemeClr w14:val="tx1"/>
            </w14:solidFill>
          </w14:textFill>
        </w:rPr>
        <w:t>个。一些部门已较好地应用信息化手段辅助业务开展，例如区经济贸易和科技局综合档案管理系统满足大批量档案数字化加工成果管理需求；区农业事务管理局充分利用智慧河长平台开展巡河护河，并利用水土保持信息化监管系统，开展水土保持监管和执法工作；区政务服务数据管理部门筹建领导小组正在建设的数字决策分析平台，</w:t>
      </w:r>
      <w:r>
        <w:rPr>
          <w:rFonts w:ascii="仿宋_GB2312" w:hAnsi="仿宋" w:eastAsia="仿宋_GB2312" w:cs="E-BX"/>
          <w:color w:val="000000" w:themeColor="text1"/>
          <w:kern w:val="0"/>
          <w:sz w:val="32"/>
          <w:szCs w:val="32"/>
          <w14:textFill>
            <w14:solidFill>
              <w14:schemeClr w14:val="tx1"/>
            </w14:solidFill>
          </w14:textFill>
        </w:rPr>
        <w:t>汇聚各级政务信息数据、区内产业企业数据以及互联网数据</w:t>
      </w:r>
      <w:r>
        <w:rPr>
          <w:rFonts w:hint="eastAsia" w:ascii="仿宋_GB2312" w:hAnsi="仿宋" w:eastAsia="仿宋_GB2312" w:cs="E-BX"/>
          <w:color w:val="000000" w:themeColor="text1"/>
          <w:kern w:val="0"/>
          <w:sz w:val="32"/>
          <w:szCs w:val="32"/>
          <w14:textFill>
            <w14:solidFill>
              <w14:schemeClr w14:val="tx1"/>
            </w14:solidFill>
          </w14:textFill>
        </w:rPr>
        <w:t>，</w:t>
      </w:r>
      <w:r>
        <w:rPr>
          <w:rFonts w:ascii="仿宋_GB2312" w:hAnsi="仿宋" w:eastAsia="仿宋_GB2312" w:cs="E-BX"/>
          <w:color w:val="000000" w:themeColor="text1"/>
          <w:kern w:val="0"/>
          <w:sz w:val="32"/>
          <w:szCs w:val="32"/>
          <w14:textFill>
            <w14:solidFill>
              <w14:schemeClr w14:val="tx1"/>
            </w14:solidFill>
          </w14:textFill>
        </w:rPr>
        <w:t>为领导</w:t>
      </w:r>
      <w:r>
        <w:rPr>
          <w:rFonts w:hint="eastAsia" w:ascii="仿宋_GB2312" w:hAnsi="仿宋" w:eastAsia="仿宋_GB2312" w:cs="E-BX"/>
          <w:color w:val="000000" w:themeColor="text1"/>
          <w:kern w:val="0"/>
          <w:sz w:val="32"/>
          <w:szCs w:val="32"/>
          <w14:textFill>
            <w14:solidFill>
              <w14:schemeClr w14:val="tx1"/>
            </w14:solidFill>
          </w14:textFill>
        </w:rPr>
        <w:t>提供辅助决策分析，帮助经开区的经济发展提质增效。各级部门在信息化建设和应用过程中，实现了数据初步汇聚，</w:t>
      </w:r>
      <w:r>
        <w:rPr>
          <w:rFonts w:hint="eastAsia" w:ascii="仿宋_GB2312" w:hAnsi="仿宋_GB2312" w:eastAsia="仿宋_GB2312" w:cs="仿宋_GB2312"/>
          <w:color w:val="000000" w:themeColor="text1"/>
          <w:sz w:val="32"/>
          <w:szCs w:val="32"/>
          <w14:textFill>
            <w14:solidFill>
              <w14:schemeClr w14:val="tx1"/>
            </w14:solidFill>
          </w14:textFill>
        </w:rPr>
        <w:t>并部署了防火墙、防病毒软件等网络安全措施。</w:t>
      </w:r>
      <w:r>
        <w:rPr>
          <w:rFonts w:hint="eastAsia" w:ascii="仿宋_GB2312" w:hAnsi="仿宋" w:eastAsia="仿宋_GB2312" w:cs="E-BX"/>
          <w:color w:val="000000" w:themeColor="text1"/>
          <w:kern w:val="0"/>
          <w:sz w:val="32"/>
          <w:szCs w:val="32"/>
          <w14:textFill>
            <w14:solidFill>
              <w14:schemeClr w14:val="tx1"/>
            </w14:solidFill>
          </w14:textFill>
        </w:rPr>
        <w:t>产业信息化水平也稳步提升，以湛江钢铁为代表，已建成2</w:t>
      </w:r>
      <w:r>
        <w:rPr>
          <w:rFonts w:ascii="仿宋_GB2312" w:hAnsi="仿宋" w:eastAsia="仿宋_GB2312" w:cs="E-BX"/>
          <w:color w:val="000000" w:themeColor="text1"/>
          <w:kern w:val="0"/>
          <w:sz w:val="32"/>
          <w:szCs w:val="32"/>
          <w14:textFill>
            <w14:solidFill>
              <w14:schemeClr w14:val="tx1"/>
            </w14:solidFill>
          </w14:textFill>
        </w:rPr>
        <w:t>9</w:t>
      </w:r>
      <w:r>
        <w:rPr>
          <w:rFonts w:hint="eastAsia" w:ascii="仿宋_GB2312" w:hAnsi="仿宋" w:eastAsia="仿宋_GB2312" w:cs="E-BX"/>
          <w:color w:val="000000" w:themeColor="text1"/>
          <w:kern w:val="0"/>
          <w:sz w:val="32"/>
          <w:szCs w:val="32"/>
          <w14:textFill>
            <w14:solidFill>
              <w14:schemeClr w14:val="tx1"/>
            </w14:solidFill>
          </w14:textFill>
        </w:rPr>
        <w:t>个系统，涵盖管理信息化和工业智能制造信息化。</w:t>
      </w:r>
    </w:p>
    <w:p>
      <w:pPr>
        <w:widowControl/>
        <w:spacing w:line="560" w:lineRule="exact"/>
        <w:ind w:firstLine="640" w:firstLineChars="200"/>
        <w:jc w:val="left"/>
        <w:outlineLvl w:val="1"/>
        <w:rPr>
          <w:rFonts w:ascii="楷体_GB2312" w:hAnsi="黑体" w:eastAsia="楷体_GB2312" w:cs="仿宋_GB2312"/>
          <w:color w:val="000000" w:themeColor="text1"/>
          <w:kern w:val="0"/>
          <w:sz w:val="32"/>
          <w:szCs w:val="32"/>
          <w14:textFill>
            <w14:solidFill>
              <w14:schemeClr w14:val="tx1"/>
            </w14:solidFill>
          </w14:textFill>
        </w:rPr>
      </w:pPr>
      <w:bookmarkStart w:id="43" w:name="_Toc75790476"/>
      <w:r>
        <w:rPr>
          <w:rFonts w:hint="eastAsia" w:ascii="楷体_GB2312" w:hAnsi="黑体" w:eastAsia="楷体_GB2312" w:cs="仿宋_GB2312"/>
          <w:color w:val="000000" w:themeColor="text1"/>
          <w:kern w:val="0"/>
          <w:sz w:val="32"/>
          <w:szCs w:val="32"/>
          <w14:textFill>
            <w14:solidFill>
              <w14:schemeClr w14:val="tx1"/>
            </w14:solidFill>
          </w14:textFill>
        </w:rPr>
        <w:t>（二）问题挑战</w:t>
      </w:r>
      <w:bookmarkEnd w:id="43"/>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14:textFill>
            <w14:solidFill>
              <w14:schemeClr w14:val="tx1"/>
            </w14:solidFill>
          </w14:textFill>
        </w:rPr>
      </w:pPr>
      <w:r>
        <w:rPr>
          <w:rFonts w:hint="eastAsia" w:ascii="仿宋_GB2312" w:hAnsi="仿宋" w:eastAsia="仿宋_GB2312" w:cs="E-BX"/>
          <w:color w:val="000000" w:themeColor="text1"/>
          <w:kern w:val="0"/>
          <w:sz w:val="32"/>
          <w:szCs w:val="32"/>
          <w14:textFill>
            <w14:solidFill>
              <w14:schemeClr w14:val="tx1"/>
            </w14:solidFill>
          </w14:textFill>
        </w:rPr>
        <w:t>尽管</w:t>
      </w:r>
      <w:r>
        <w:rPr>
          <w:rFonts w:ascii="仿宋_GB2312" w:hAnsi="仿宋" w:eastAsia="仿宋_GB2312" w:cs="E-BX"/>
          <w:color w:val="000000" w:themeColor="text1"/>
          <w:kern w:val="0"/>
          <w:sz w:val="32"/>
          <w:szCs w:val="32"/>
          <w14:textFill>
            <w14:solidFill>
              <w14:schemeClr w14:val="tx1"/>
            </w14:solidFill>
          </w14:textFill>
        </w:rPr>
        <w:t>经开区</w:t>
      </w:r>
      <w:r>
        <w:rPr>
          <w:rFonts w:hint="eastAsia" w:ascii="仿宋_GB2312" w:hAnsi="仿宋" w:eastAsia="仿宋_GB2312" w:cs="E-BX"/>
          <w:color w:val="000000" w:themeColor="text1"/>
          <w:kern w:val="0"/>
          <w:sz w:val="32"/>
          <w:szCs w:val="32"/>
          <w14:textFill>
            <w14:solidFill>
              <w14:schemeClr w14:val="tx1"/>
            </w14:solidFill>
          </w14:textFill>
        </w:rPr>
        <w:t>“数字政府”建设工作取得了一定成效，但是在体制机制、数据治理、网络安全、政务服务、产业发展、民生保障和城区治理等方面还存在许多不足，信息化在推进政府数字化转型、提升治理体系和治理能力现代化中的作用尚未充分发挥。</w:t>
      </w:r>
    </w:p>
    <w:p>
      <w:pPr>
        <w:pStyle w:val="4"/>
        <w:keepNext w:val="0"/>
        <w:keepLines w:val="0"/>
        <w:spacing w:before="0" w:after="0" w:line="560" w:lineRule="exact"/>
        <w:ind w:left="567"/>
        <w:rPr>
          <w:rFonts w:ascii="仿宋_GB2312" w:hAnsi="楷体" w:eastAsia="仿宋_GB2312"/>
          <w:color w:val="000000" w:themeColor="text1"/>
          <w14:textFill>
            <w14:solidFill>
              <w14:schemeClr w14:val="tx1"/>
            </w14:solidFill>
          </w14:textFill>
        </w:rPr>
      </w:pPr>
      <w:bookmarkStart w:id="44" w:name="_Toc58916828"/>
      <w:bookmarkStart w:id="45" w:name="_Toc57017145"/>
      <w:bookmarkStart w:id="46" w:name="_Toc67470108"/>
      <w:bookmarkStart w:id="47" w:name="_Toc64873692"/>
      <w:bookmarkStart w:id="48" w:name="_Toc63751388"/>
      <w:bookmarkStart w:id="49" w:name="_Toc57929301"/>
      <w:bookmarkStart w:id="50" w:name="_Toc56903759"/>
      <w:bookmarkStart w:id="51" w:name="_Toc68615329"/>
      <w:bookmarkStart w:id="52" w:name="_Toc64866057"/>
      <w:bookmarkStart w:id="53" w:name="_Toc57015421"/>
      <w:bookmarkStart w:id="54" w:name="_Toc59121336"/>
      <w:bookmarkStart w:id="55" w:name="_Toc72936821"/>
      <w:bookmarkStart w:id="56" w:name="_Toc57598674"/>
      <w:bookmarkStart w:id="57" w:name="_Toc63302976"/>
      <w:bookmarkStart w:id="58" w:name="_Toc58933664"/>
      <w:bookmarkStart w:id="59" w:name="_Toc58569930"/>
      <w:bookmarkStart w:id="60" w:name="_Toc75790477"/>
      <w:bookmarkStart w:id="61" w:name="_Toc64863195"/>
      <w:r>
        <w:rPr>
          <w:rFonts w:hint="eastAsia" w:ascii="仿宋_GB2312" w:hAnsi="楷体" w:eastAsia="仿宋_GB2312"/>
          <w:color w:val="000000" w:themeColor="text1"/>
          <w14:textFill>
            <w14:solidFill>
              <w14:schemeClr w14:val="tx1"/>
            </w14:solidFill>
          </w14:textFill>
        </w:rPr>
        <w:t>1.</w:t>
      </w:r>
      <w:r>
        <w:rPr>
          <w:rFonts w:ascii="仿宋_GB2312" w:hAnsi="楷体" w:eastAsia="仿宋_GB2312"/>
          <w:color w:val="000000" w:themeColor="text1"/>
          <w14:textFill>
            <w14:solidFill>
              <w14:schemeClr w14:val="tx1"/>
            </w14:solidFill>
          </w14:textFill>
        </w:rPr>
        <w:t>体制机制需进一步完善</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pPr>
        <w:spacing w:line="560" w:lineRule="exact"/>
        <w:ind w:firstLine="640" w:firstLineChars="200"/>
        <w:rPr>
          <w:rFonts w:ascii="仿宋_GB2312" w:hAnsi="仿宋" w:eastAsia="仿宋_GB2312" w:cs="E-BX"/>
          <w:color w:val="000000" w:themeColor="text1"/>
          <w:kern w:val="0"/>
          <w:sz w:val="32"/>
          <w:szCs w:val="32"/>
          <w14:textFill>
            <w14:solidFill>
              <w14:schemeClr w14:val="tx1"/>
            </w14:solidFill>
          </w14:textFill>
        </w:rPr>
      </w:pPr>
      <w:r>
        <w:rPr>
          <w:rFonts w:ascii="仿宋_GB2312" w:hAnsi="仿宋" w:eastAsia="仿宋_GB2312" w:cs="E-BX"/>
          <w:color w:val="000000" w:themeColor="text1"/>
          <w:kern w:val="0"/>
          <w:sz w:val="32"/>
          <w:szCs w:val="32"/>
          <w14:textFill>
            <w14:solidFill>
              <w14:schemeClr w14:val="tx1"/>
            </w14:solidFill>
          </w14:textFill>
        </w:rPr>
        <w:t>经开区尚未</w:t>
      </w:r>
      <w:r>
        <w:rPr>
          <w:rFonts w:hint="eastAsia" w:ascii="仿宋_GB2312" w:hAnsi="仿宋" w:eastAsia="仿宋_GB2312" w:cs="E-BX"/>
          <w:color w:val="000000" w:themeColor="text1"/>
          <w:kern w:val="0"/>
          <w:sz w:val="32"/>
          <w:szCs w:val="32"/>
          <w14:textFill>
            <w14:solidFill>
              <w14:schemeClr w14:val="tx1"/>
            </w14:solidFill>
          </w14:textFill>
        </w:rPr>
        <w:t>建成与</w:t>
      </w:r>
      <w:r>
        <w:rPr>
          <w:rFonts w:ascii="仿宋_GB2312" w:hAnsi="仿宋" w:eastAsia="仿宋_GB2312" w:cs="E-BX"/>
          <w:color w:val="000000" w:themeColor="text1"/>
          <w:kern w:val="0"/>
          <w:sz w:val="32"/>
          <w:szCs w:val="32"/>
          <w14:textFill>
            <w14:solidFill>
              <w14:schemeClr w14:val="tx1"/>
            </w14:solidFill>
          </w14:textFill>
        </w:rPr>
        <w:t>“数字政府”改革</w:t>
      </w:r>
      <w:r>
        <w:rPr>
          <w:rFonts w:hint="eastAsia" w:ascii="仿宋_GB2312" w:hAnsi="仿宋" w:eastAsia="仿宋_GB2312" w:cs="E-BX"/>
          <w:color w:val="000000" w:themeColor="text1"/>
          <w:kern w:val="0"/>
          <w:sz w:val="32"/>
          <w:szCs w:val="32"/>
          <w14:textFill>
            <w14:solidFill>
              <w14:schemeClr w14:val="tx1"/>
            </w14:solidFill>
          </w14:textFill>
        </w:rPr>
        <w:t>相适应的机制体制</w:t>
      </w:r>
      <w:r>
        <w:rPr>
          <w:rFonts w:ascii="仿宋_GB2312" w:hAnsi="仿宋" w:eastAsia="仿宋_GB2312" w:cs="E-BX"/>
          <w:color w:val="000000" w:themeColor="text1"/>
          <w:kern w:val="0"/>
          <w:sz w:val="32"/>
          <w:szCs w:val="32"/>
          <w14:textFill>
            <w14:solidFill>
              <w14:schemeClr w14:val="tx1"/>
            </w14:solidFill>
          </w14:textFill>
        </w:rPr>
        <w:t>，部门信息化建设各自为政、分散投资、被动响应的现象仍普遍存在。各部门技术支撑体系较为薄弱，人才培养机制不能满足“数字政府”改革建设的需要，缺乏既懂业务工作又精通信息技术的复合型人才。</w:t>
      </w:r>
    </w:p>
    <w:p>
      <w:pPr>
        <w:pStyle w:val="4"/>
        <w:keepNext w:val="0"/>
        <w:keepLines w:val="0"/>
        <w:spacing w:before="0" w:after="0" w:line="560" w:lineRule="exact"/>
        <w:ind w:left="567"/>
        <w:rPr>
          <w:rFonts w:ascii="仿宋_GB2312" w:hAnsi="楷体" w:eastAsia="仿宋_GB2312"/>
          <w:color w:val="000000" w:themeColor="text1"/>
          <w14:textFill>
            <w14:solidFill>
              <w14:schemeClr w14:val="tx1"/>
            </w14:solidFill>
          </w14:textFill>
        </w:rPr>
      </w:pPr>
      <w:bookmarkStart w:id="62" w:name="_Toc56410710"/>
      <w:bookmarkStart w:id="63" w:name="_Toc64866058"/>
      <w:bookmarkStart w:id="64" w:name="_Toc57598675"/>
      <w:bookmarkStart w:id="65" w:name="_Toc67470109"/>
      <w:bookmarkStart w:id="66" w:name="_Toc68615330"/>
      <w:bookmarkStart w:id="67" w:name="_Toc57017146"/>
      <w:bookmarkStart w:id="68" w:name="_Toc57015422"/>
      <w:bookmarkStart w:id="69" w:name="_Toc63751389"/>
      <w:bookmarkStart w:id="70" w:name="_Toc58569931"/>
      <w:bookmarkStart w:id="71" w:name="_Toc64863196"/>
      <w:bookmarkStart w:id="72" w:name="_Toc59121337"/>
      <w:bookmarkStart w:id="73" w:name="_Toc75790478"/>
      <w:bookmarkStart w:id="74" w:name="_Toc64873693"/>
      <w:bookmarkStart w:id="75" w:name="_Toc72936822"/>
      <w:bookmarkStart w:id="76" w:name="_Toc58916829"/>
      <w:bookmarkStart w:id="77" w:name="_Toc63302977"/>
      <w:bookmarkStart w:id="78" w:name="_Toc57929302"/>
      <w:bookmarkStart w:id="79" w:name="_Toc56903760"/>
      <w:bookmarkStart w:id="80" w:name="_Toc58933665"/>
      <w:bookmarkStart w:id="81" w:name="_Toc56410711"/>
      <w:r>
        <w:rPr>
          <w:rFonts w:hint="eastAsia" w:ascii="仿宋_GB2312" w:hAnsi="楷体" w:eastAsia="仿宋_GB2312"/>
          <w:color w:val="000000" w:themeColor="text1"/>
          <w14:textFill>
            <w14:solidFill>
              <w14:schemeClr w14:val="tx1"/>
            </w14:solidFill>
          </w14:textFill>
        </w:rPr>
        <w:t>2.</w:t>
      </w:r>
      <w:bookmarkEnd w:id="62"/>
      <w:r>
        <w:rPr>
          <w:rFonts w:hint="eastAsia" w:ascii="仿宋_GB2312" w:hAnsi="楷体" w:eastAsia="仿宋_GB2312"/>
          <w:color w:val="000000" w:themeColor="text1"/>
          <w14:textFill>
            <w14:solidFill>
              <w14:schemeClr w14:val="tx1"/>
            </w14:solidFill>
          </w14:textFill>
        </w:rPr>
        <w:t>数据治理格局尚未形成</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14:textFill>
            <w14:solidFill>
              <w14:schemeClr w14:val="tx1"/>
            </w14:solidFill>
          </w14:textFill>
        </w:rPr>
      </w:pPr>
      <w:r>
        <w:rPr>
          <w:rFonts w:hint="eastAsia" w:ascii="仿宋_GB2312" w:hAnsi="仿宋" w:eastAsia="仿宋_GB2312" w:cs="E-BX"/>
          <w:color w:val="000000" w:themeColor="text1"/>
          <w:kern w:val="0"/>
          <w:sz w:val="32"/>
          <w:szCs w:val="32"/>
          <w14:textFill>
            <w14:solidFill>
              <w14:schemeClr w14:val="tx1"/>
            </w14:solidFill>
          </w14:textFill>
        </w:rPr>
        <w:t>经开区各部门现使用的信息系统多由国家、省或市统建，区自建系统数量仅占13%，本地数据沉淀较少，没有形成统一的政府大数据融合机制和交互平台。数据治理存在以下问题：各层级间数据整合力度不足；各部门对数据共享的需求不够清晰；全方位数据挖掘和分析应用能力不足；数据治理与信息化技术融合程度不深；整体的数据共享开发应用水平不高，助推经济发展和支撑政府决策的作用不明显。</w:t>
      </w:r>
    </w:p>
    <w:p>
      <w:pPr>
        <w:pStyle w:val="4"/>
        <w:keepNext w:val="0"/>
        <w:keepLines w:val="0"/>
        <w:spacing w:before="0" w:after="0" w:line="560" w:lineRule="exact"/>
        <w:ind w:left="567"/>
        <w:rPr>
          <w:rFonts w:ascii="仿宋_GB2312" w:hAnsi="楷体" w:eastAsia="仿宋_GB2312"/>
          <w:color w:val="000000" w:themeColor="text1"/>
          <w14:textFill>
            <w14:solidFill>
              <w14:schemeClr w14:val="tx1"/>
            </w14:solidFill>
          </w14:textFill>
        </w:rPr>
      </w:pPr>
      <w:bookmarkStart w:id="82" w:name="_Toc56903761"/>
      <w:bookmarkStart w:id="83" w:name="_Toc64866059"/>
      <w:bookmarkStart w:id="84" w:name="_Toc64873694"/>
      <w:bookmarkStart w:id="85" w:name="_Toc63302978"/>
      <w:bookmarkStart w:id="86" w:name="_Toc58916830"/>
      <w:bookmarkStart w:id="87" w:name="_Toc57015423"/>
      <w:bookmarkStart w:id="88" w:name="_Toc59121338"/>
      <w:bookmarkStart w:id="89" w:name="_Toc68615331"/>
      <w:bookmarkStart w:id="90" w:name="_Toc75790479"/>
      <w:bookmarkStart w:id="91" w:name="_Toc72936823"/>
      <w:bookmarkStart w:id="92" w:name="_Toc64863197"/>
      <w:bookmarkStart w:id="93" w:name="_Toc58933666"/>
      <w:bookmarkStart w:id="94" w:name="_Toc58569932"/>
      <w:bookmarkStart w:id="95" w:name="_Toc63751390"/>
      <w:bookmarkStart w:id="96" w:name="_Toc57929303"/>
      <w:bookmarkStart w:id="97" w:name="_Toc67470110"/>
      <w:bookmarkStart w:id="98" w:name="_Toc57017147"/>
      <w:bookmarkStart w:id="99" w:name="_Toc57598676"/>
      <w:r>
        <w:rPr>
          <w:rFonts w:ascii="仿宋_GB2312" w:hAnsi="楷体" w:eastAsia="仿宋_GB2312"/>
          <w:color w:val="000000" w:themeColor="text1"/>
          <w14:textFill>
            <w14:solidFill>
              <w14:schemeClr w14:val="tx1"/>
            </w14:solidFill>
          </w14:textFill>
        </w:rPr>
        <w:t>3</w:t>
      </w:r>
      <w:r>
        <w:rPr>
          <w:rFonts w:hint="eastAsia" w:ascii="仿宋_GB2312" w:hAnsi="楷体" w:eastAsia="仿宋_GB2312"/>
          <w:color w:val="000000" w:themeColor="text1"/>
          <w14:textFill>
            <w14:solidFill>
              <w14:schemeClr w14:val="tx1"/>
            </w14:solidFill>
          </w14:textFill>
        </w:rPr>
        <w:t>.</w:t>
      </w:r>
      <w:r>
        <w:rPr>
          <w:rFonts w:hint="eastAsia" w:ascii="仿宋_GB2312" w:hAnsi="仿宋" w:eastAsia="仿宋_GB2312" w:cs="E-BX"/>
          <w:color w:val="000000" w:themeColor="text1"/>
          <w:kern w:val="0"/>
          <w14:textFill>
            <w14:solidFill>
              <w14:schemeClr w14:val="tx1"/>
            </w14:solidFill>
          </w14:textFill>
        </w:rPr>
        <w:t>政务服务</w:t>
      </w:r>
      <w:r>
        <w:rPr>
          <w:rFonts w:hint="eastAsia" w:ascii="仿宋_GB2312" w:hAnsi="楷体" w:eastAsia="仿宋_GB2312"/>
          <w:color w:val="000000" w:themeColor="text1"/>
          <w14:textFill>
            <w14:solidFill>
              <w14:schemeClr w14:val="tx1"/>
            </w14:solidFill>
          </w14:textFill>
        </w:rPr>
        <w:t>能力亟待</w:t>
      </w:r>
      <w:r>
        <w:rPr>
          <w:rFonts w:ascii="仿宋_GB2312" w:hAnsi="楷体" w:eastAsia="仿宋_GB2312"/>
          <w:color w:val="000000" w:themeColor="text1"/>
          <w14:textFill>
            <w14:solidFill>
              <w14:schemeClr w14:val="tx1"/>
            </w14:solidFill>
          </w14:textFill>
        </w:rPr>
        <w:t>补强</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14:textFill>
            <w14:solidFill>
              <w14:schemeClr w14:val="tx1"/>
            </w14:solidFill>
          </w14:textFill>
        </w:rPr>
      </w:pPr>
      <w:r>
        <w:rPr>
          <w:rFonts w:hint="eastAsia" w:ascii="仿宋_GB2312" w:hAnsi="仿宋" w:eastAsia="仿宋_GB2312" w:cs="E-BX"/>
          <w:color w:val="000000" w:themeColor="text1"/>
          <w:kern w:val="0"/>
          <w:sz w:val="32"/>
          <w:szCs w:val="32"/>
          <w14:textFill>
            <w14:solidFill>
              <w14:schemeClr w14:val="tx1"/>
            </w14:solidFill>
          </w14:textFill>
        </w:rPr>
        <w:t>区行政服务中心受限于场地条件的制约，还未能实现所有单位对外服务统一入驻，还需要群众分别到各单位的办事网点上门办理，造成服务水平和体验不统一、不一致。</w:t>
      </w:r>
      <w:r>
        <w:rPr>
          <w:rFonts w:ascii="仿宋_GB2312" w:hAnsi="仿宋" w:eastAsia="仿宋_GB2312" w:cs="E-BX"/>
          <w:color w:val="000000" w:themeColor="text1"/>
          <w:kern w:val="0"/>
          <w:sz w:val="32"/>
          <w:szCs w:val="32"/>
          <w14:textFill>
            <w14:solidFill>
              <w14:schemeClr w14:val="tx1"/>
            </w14:solidFill>
          </w14:textFill>
        </w:rPr>
        <w:t>政务服务网办深度有待提升，已进驻网厅的4</w:t>
      </w:r>
      <w:r>
        <w:rPr>
          <w:rFonts w:hint="eastAsia" w:ascii="仿宋_GB2312" w:hAnsi="仿宋" w:eastAsia="仿宋_GB2312" w:cs="E-BX"/>
          <w:color w:val="000000" w:themeColor="text1"/>
          <w:kern w:val="0"/>
          <w:sz w:val="32"/>
          <w:szCs w:val="32"/>
          <w14:textFill>
            <w14:solidFill>
              <w14:schemeClr w14:val="tx1"/>
            </w14:solidFill>
          </w14:textFill>
        </w:rPr>
        <w:t>24</w:t>
      </w:r>
      <w:r>
        <w:rPr>
          <w:rFonts w:ascii="仿宋_GB2312" w:hAnsi="仿宋" w:eastAsia="仿宋_GB2312" w:cs="E-BX"/>
          <w:color w:val="000000" w:themeColor="text1"/>
          <w:kern w:val="0"/>
          <w:sz w:val="32"/>
          <w:szCs w:val="32"/>
          <w14:textFill>
            <w14:solidFill>
              <w14:schemeClr w14:val="tx1"/>
            </w14:solidFill>
          </w14:textFill>
        </w:rPr>
        <w:t>项行政许可事项中，可实现网上全流程办理仅占95.93%，离全省先进水平的98%仍有较大差距。企业、群众办事缺少场景式主题服务，未针对企业开办、工程建设、办证申请和便民服务等办事场景进行流程重组和数据互通，未能真正实现“一窗进出、内部流转”和“一事件”联办。</w:t>
      </w:r>
    </w:p>
    <w:p>
      <w:pPr>
        <w:pStyle w:val="4"/>
        <w:keepNext w:val="0"/>
        <w:keepLines w:val="0"/>
        <w:spacing w:before="0" w:after="0" w:line="560" w:lineRule="exact"/>
        <w:ind w:left="567"/>
        <w:rPr>
          <w:rFonts w:ascii="仿宋_GB2312" w:hAnsi="楷体" w:eastAsia="仿宋_GB2312"/>
          <w:color w:val="000000" w:themeColor="text1"/>
          <w14:textFill>
            <w14:solidFill>
              <w14:schemeClr w14:val="tx1"/>
            </w14:solidFill>
          </w14:textFill>
        </w:rPr>
      </w:pPr>
      <w:bookmarkStart w:id="100" w:name="_Toc58916831"/>
      <w:bookmarkStart w:id="101" w:name="_Toc64866060"/>
      <w:bookmarkStart w:id="102" w:name="_Toc64873695"/>
      <w:bookmarkStart w:id="103" w:name="_Toc57017148"/>
      <w:bookmarkStart w:id="104" w:name="_Toc56903762"/>
      <w:bookmarkStart w:id="105" w:name="_Toc67470111"/>
      <w:bookmarkStart w:id="106" w:name="_Toc59121339"/>
      <w:bookmarkStart w:id="107" w:name="_Toc57598677"/>
      <w:bookmarkStart w:id="108" w:name="_Toc63302979"/>
      <w:bookmarkStart w:id="109" w:name="_Toc58569933"/>
      <w:bookmarkStart w:id="110" w:name="_Toc68615332"/>
      <w:bookmarkStart w:id="111" w:name="_Toc57015424"/>
      <w:bookmarkStart w:id="112" w:name="_Toc64863198"/>
      <w:bookmarkStart w:id="113" w:name="_Toc63751391"/>
      <w:bookmarkStart w:id="114" w:name="_Toc57929304"/>
      <w:bookmarkStart w:id="115" w:name="_Toc58933667"/>
      <w:bookmarkStart w:id="116" w:name="_Toc72936824"/>
      <w:bookmarkStart w:id="117" w:name="_Toc75790480"/>
      <w:r>
        <w:rPr>
          <w:rFonts w:ascii="仿宋_GB2312" w:hAnsi="楷体" w:eastAsia="仿宋_GB2312"/>
          <w:color w:val="000000" w:themeColor="text1"/>
          <w14:textFill>
            <w14:solidFill>
              <w14:schemeClr w14:val="tx1"/>
            </w14:solidFill>
          </w14:textFill>
        </w:rPr>
        <w:t>4.</w:t>
      </w:r>
      <w:r>
        <w:rPr>
          <w:rFonts w:hint="eastAsia" w:ascii="仿宋_GB2312" w:hAnsi="楷体" w:eastAsia="仿宋_GB2312"/>
          <w:color w:val="000000" w:themeColor="text1"/>
          <w14:textFill>
            <w14:solidFill>
              <w14:schemeClr w14:val="tx1"/>
            </w14:solidFill>
          </w14:textFill>
        </w:rPr>
        <w:t>专业</w:t>
      </w:r>
      <w:r>
        <w:rPr>
          <w:rFonts w:ascii="仿宋_GB2312" w:hAnsi="楷体" w:eastAsia="仿宋_GB2312"/>
          <w:color w:val="000000" w:themeColor="text1"/>
          <w14:textFill>
            <w14:solidFill>
              <w14:schemeClr w14:val="tx1"/>
            </w14:solidFill>
          </w14:textFill>
        </w:rPr>
        <w:t>应用提升空间</w:t>
      </w:r>
      <w:r>
        <w:rPr>
          <w:rFonts w:hint="eastAsia" w:ascii="仿宋_GB2312" w:hAnsi="楷体" w:eastAsia="仿宋_GB2312"/>
          <w:color w:val="000000" w:themeColor="text1"/>
          <w14:textFill>
            <w14:solidFill>
              <w14:schemeClr w14:val="tx1"/>
            </w14:solidFill>
          </w14:textFill>
        </w:rPr>
        <w:t>较</w:t>
      </w:r>
      <w:r>
        <w:rPr>
          <w:rFonts w:ascii="仿宋_GB2312" w:hAnsi="楷体" w:eastAsia="仿宋_GB2312"/>
          <w:color w:val="000000" w:themeColor="text1"/>
          <w14:textFill>
            <w14:solidFill>
              <w14:schemeClr w14:val="tx1"/>
            </w14:solidFill>
          </w14:textFill>
        </w:rPr>
        <w:t>大</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14:textFill>
            <w14:solidFill>
              <w14:schemeClr w14:val="tx1"/>
            </w14:solidFill>
          </w14:textFill>
        </w:rPr>
      </w:pPr>
      <w:r>
        <w:rPr>
          <w:rFonts w:ascii="仿宋_GB2312" w:hAnsi="仿宋" w:eastAsia="仿宋_GB2312" w:cs="E-BX"/>
          <w:color w:val="000000" w:themeColor="text1"/>
          <w:kern w:val="0"/>
          <w:sz w:val="32"/>
          <w:szCs w:val="32"/>
          <w14:textFill>
            <w14:solidFill>
              <w14:schemeClr w14:val="tx1"/>
            </w14:solidFill>
          </w14:textFill>
        </w:rPr>
        <w:t>目前经开区自建信息系统16个，且多数为项目管理、档案管理和指标考核等内部管理系统</w:t>
      </w:r>
      <w:r>
        <w:rPr>
          <w:rFonts w:hint="eastAsia" w:ascii="仿宋_GB2312" w:hAnsi="仿宋" w:eastAsia="仿宋_GB2312" w:cs="E-BX"/>
          <w:color w:val="000000" w:themeColor="text1"/>
          <w:kern w:val="0"/>
          <w:sz w:val="32"/>
          <w:szCs w:val="32"/>
          <w14:textFill>
            <w14:solidFill>
              <w14:schemeClr w14:val="tx1"/>
            </w14:solidFill>
          </w14:textFill>
        </w:rPr>
        <w:t>。全区产业发展领域的信息化应用不够深入，目前以国家省市统建垂直系统、第三方平台、企业自建为主，未能针对钢铁、石化、造纸等支柱产业建设特色应用。</w:t>
      </w:r>
      <w:r>
        <w:rPr>
          <w:rFonts w:ascii="仿宋_GB2312" w:hAnsi="仿宋" w:eastAsia="仿宋_GB2312" w:cs="E-BX"/>
          <w:color w:val="000000" w:themeColor="text1"/>
          <w:kern w:val="0"/>
          <w:sz w:val="32"/>
          <w:szCs w:val="32"/>
          <w14:textFill>
            <w14:solidFill>
              <w14:schemeClr w14:val="tx1"/>
            </w14:solidFill>
          </w14:textFill>
        </w:rPr>
        <w:t>专业领域的数字化支撑能力不足，直接影响跨部门业务协同和政府整体治理能力提升。</w:t>
      </w:r>
    </w:p>
    <w:p>
      <w:pPr>
        <w:pStyle w:val="4"/>
        <w:keepNext w:val="0"/>
        <w:keepLines w:val="0"/>
        <w:spacing w:before="0" w:after="0" w:line="560" w:lineRule="exact"/>
        <w:ind w:left="567"/>
        <w:rPr>
          <w:rFonts w:ascii="仿宋_GB2312" w:hAnsi="仿宋" w:eastAsia="仿宋_GB2312" w:cs="E-BX"/>
          <w:color w:val="000000" w:themeColor="text1"/>
          <w:kern w:val="0"/>
          <w14:textFill>
            <w14:solidFill>
              <w14:schemeClr w14:val="tx1"/>
            </w14:solidFill>
          </w14:textFill>
        </w:rPr>
      </w:pPr>
      <w:bookmarkStart w:id="118" w:name="_Toc63302980"/>
      <w:bookmarkStart w:id="119" w:name="_Toc63751392"/>
      <w:bookmarkStart w:id="120" w:name="_Toc58933668"/>
      <w:bookmarkStart w:id="121" w:name="_Toc57017149"/>
      <w:bookmarkStart w:id="122" w:name="_Toc59121340"/>
      <w:bookmarkStart w:id="123" w:name="_Toc57015425"/>
      <w:bookmarkStart w:id="124" w:name="_Toc72936825"/>
      <w:bookmarkStart w:id="125" w:name="_Toc75790481"/>
      <w:bookmarkStart w:id="126" w:name="_Toc68615333"/>
      <w:bookmarkStart w:id="127" w:name="_Toc64863199"/>
      <w:bookmarkStart w:id="128" w:name="_Toc58569934"/>
      <w:bookmarkStart w:id="129" w:name="_Toc67470112"/>
      <w:bookmarkStart w:id="130" w:name="_Toc56903763"/>
      <w:bookmarkStart w:id="131" w:name="_Toc57598678"/>
      <w:bookmarkStart w:id="132" w:name="_Toc57929305"/>
      <w:bookmarkStart w:id="133" w:name="_Toc58916832"/>
      <w:bookmarkStart w:id="134" w:name="_Toc64866061"/>
      <w:bookmarkStart w:id="135" w:name="_Toc64873696"/>
      <w:r>
        <w:rPr>
          <w:rFonts w:ascii="仿宋_GB2312" w:hAnsi="楷体" w:eastAsia="仿宋_GB2312"/>
          <w:color w:val="000000" w:themeColor="text1"/>
          <w14:textFill>
            <w14:solidFill>
              <w14:schemeClr w14:val="tx1"/>
            </w14:solidFill>
          </w14:textFill>
        </w:rPr>
        <w:t>5</w:t>
      </w:r>
      <w:r>
        <w:rPr>
          <w:rFonts w:hint="eastAsia" w:ascii="仿宋_GB2312" w:hAnsi="楷体" w:eastAsia="仿宋_GB2312"/>
          <w:color w:val="000000" w:themeColor="text1"/>
          <w14:textFill>
            <w14:solidFill>
              <w14:schemeClr w14:val="tx1"/>
            </w14:solidFill>
          </w14:textFill>
        </w:rPr>
        <w:t>.</w:t>
      </w:r>
      <w:r>
        <w:rPr>
          <w:rFonts w:hint="eastAsia" w:ascii="仿宋_GB2312" w:hAnsi="仿宋" w:eastAsia="仿宋_GB2312" w:cs="E-BX"/>
          <w:color w:val="000000" w:themeColor="text1"/>
          <w:kern w:val="0"/>
          <w14:textFill>
            <w14:solidFill>
              <w14:schemeClr w14:val="tx1"/>
            </w14:solidFill>
          </w14:textFill>
        </w:rPr>
        <w:t>信息安全防护存在不足</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14:textFill>
            <w14:solidFill>
              <w14:schemeClr w14:val="tx1"/>
            </w14:solidFill>
          </w14:textFill>
        </w:rPr>
      </w:pPr>
      <w:r>
        <w:rPr>
          <w:rFonts w:ascii="仿宋_GB2312" w:hAnsi="仿宋" w:eastAsia="仿宋_GB2312" w:cs="E-BX"/>
          <w:color w:val="000000" w:themeColor="text1"/>
          <w:kern w:val="0"/>
          <w:sz w:val="32"/>
          <w:szCs w:val="32"/>
          <w14:textFill>
            <w14:solidFill>
              <w14:schemeClr w14:val="tx1"/>
            </w14:solidFill>
          </w14:textFill>
        </w:rPr>
        <w:t>我区7个单位</w:t>
      </w:r>
      <w:r>
        <w:rPr>
          <w:rFonts w:hint="eastAsia" w:ascii="仿宋_GB2312" w:hAnsi="仿宋" w:eastAsia="仿宋_GB2312" w:cs="E-BX"/>
          <w:color w:val="000000" w:themeColor="text1"/>
          <w:kern w:val="0"/>
          <w:sz w:val="32"/>
          <w:szCs w:val="32"/>
          <w14:textFill>
            <w14:solidFill>
              <w14:schemeClr w14:val="tx1"/>
            </w14:solidFill>
          </w14:textFill>
        </w:rPr>
        <w:t>拥有</w:t>
      </w:r>
      <w:r>
        <w:rPr>
          <w:rFonts w:ascii="仿宋_GB2312" w:hAnsi="仿宋" w:eastAsia="仿宋_GB2312" w:cs="E-BX"/>
          <w:color w:val="000000" w:themeColor="text1"/>
          <w:kern w:val="0"/>
          <w:sz w:val="32"/>
          <w:szCs w:val="32"/>
          <w14:textFill>
            <w14:solidFill>
              <w14:schemeClr w14:val="tx1"/>
            </w14:solidFill>
          </w14:textFill>
        </w:rPr>
        <w:t>自建机房</w:t>
      </w:r>
      <w:r>
        <w:rPr>
          <w:rFonts w:hint="eastAsia" w:ascii="仿宋_GB2312" w:hAnsi="仿宋" w:eastAsia="仿宋_GB2312" w:cs="E-BX"/>
          <w:color w:val="000000" w:themeColor="text1"/>
          <w:kern w:val="0"/>
          <w:sz w:val="32"/>
          <w:szCs w:val="32"/>
          <w14:textFill>
            <w14:solidFill>
              <w14:schemeClr w14:val="tx1"/>
            </w14:solidFill>
          </w14:textFill>
        </w:rPr>
        <w:t>，均</w:t>
      </w:r>
      <w:r>
        <w:rPr>
          <w:rFonts w:ascii="仿宋_GB2312" w:hAnsi="仿宋" w:eastAsia="仿宋_GB2312" w:cs="E-BX"/>
          <w:color w:val="000000" w:themeColor="text1"/>
          <w:kern w:val="0"/>
          <w:sz w:val="32"/>
          <w:szCs w:val="32"/>
          <w14:textFill>
            <w14:solidFill>
              <w14:schemeClr w14:val="tx1"/>
            </w14:solidFill>
          </w14:textFill>
        </w:rPr>
        <w:t>未开展信息安全等级保护测评，</w:t>
      </w:r>
      <w:r>
        <w:rPr>
          <w:rFonts w:hint="eastAsia" w:ascii="仿宋_GB2312" w:hAnsi="仿宋" w:eastAsia="仿宋_GB2312" w:cs="E-BX"/>
          <w:color w:val="000000" w:themeColor="text1"/>
          <w:kern w:val="0"/>
          <w:sz w:val="32"/>
          <w:szCs w:val="32"/>
          <w14:textFill>
            <w14:solidFill>
              <w14:schemeClr w14:val="tx1"/>
            </w14:solidFill>
          </w14:textFill>
        </w:rPr>
        <w:t>全区1</w:t>
      </w:r>
      <w:r>
        <w:rPr>
          <w:rFonts w:ascii="仿宋_GB2312" w:hAnsi="仿宋" w:eastAsia="仿宋_GB2312" w:cs="E-BX"/>
          <w:color w:val="000000" w:themeColor="text1"/>
          <w:kern w:val="0"/>
          <w:sz w:val="32"/>
          <w:szCs w:val="32"/>
          <w14:textFill>
            <w14:solidFill>
              <w14:schemeClr w14:val="tx1"/>
            </w14:solidFill>
          </w14:textFill>
        </w:rPr>
        <w:t>6</w:t>
      </w:r>
      <w:r>
        <w:rPr>
          <w:rFonts w:hint="eastAsia" w:ascii="仿宋_GB2312" w:hAnsi="仿宋" w:eastAsia="仿宋_GB2312" w:cs="E-BX"/>
          <w:color w:val="000000" w:themeColor="text1"/>
          <w:kern w:val="0"/>
          <w:sz w:val="32"/>
          <w:szCs w:val="32"/>
          <w14:textFill>
            <w14:solidFill>
              <w14:schemeClr w14:val="tx1"/>
            </w14:solidFill>
          </w14:textFill>
        </w:rPr>
        <w:t>个</w:t>
      </w:r>
      <w:r>
        <w:rPr>
          <w:rFonts w:ascii="仿宋_GB2312" w:hAnsi="仿宋" w:eastAsia="仿宋_GB2312" w:cs="E-BX"/>
          <w:color w:val="000000" w:themeColor="text1"/>
          <w:kern w:val="0"/>
          <w:sz w:val="32"/>
          <w:szCs w:val="32"/>
          <w14:textFill>
            <w14:solidFill>
              <w14:schemeClr w14:val="tx1"/>
            </w14:solidFill>
          </w14:textFill>
        </w:rPr>
        <w:t>自建系统未采用密码技术保障网络传输、数据和应用安全，同时缺少审计和事后追溯手段，政务信息资源的机密性、完整性和不可否认性难以保证，存在信息安全隐患。</w:t>
      </w:r>
    </w:p>
    <w:p>
      <w:pPr>
        <w:widowControl/>
        <w:spacing w:line="560" w:lineRule="exact"/>
        <w:ind w:firstLine="640" w:firstLineChars="200"/>
        <w:jc w:val="left"/>
        <w:outlineLvl w:val="1"/>
        <w:rPr>
          <w:rFonts w:ascii="楷体_GB2312" w:hAnsi="黑体" w:eastAsia="楷体_GB2312" w:cs="仿宋_GB2312"/>
          <w:color w:val="000000" w:themeColor="text1"/>
          <w:kern w:val="0"/>
          <w:sz w:val="32"/>
          <w:szCs w:val="32"/>
          <w14:textFill>
            <w14:solidFill>
              <w14:schemeClr w14:val="tx1"/>
            </w14:solidFill>
          </w14:textFill>
        </w:rPr>
      </w:pPr>
      <w:bookmarkStart w:id="136" w:name="_Toc75790482"/>
      <w:r>
        <w:rPr>
          <w:rFonts w:hint="eastAsia" w:ascii="楷体_GB2312" w:hAnsi="黑体" w:eastAsia="楷体_GB2312" w:cs="仿宋_GB2312"/>
          <w:color w:val="000000" w:themeColor="text1"/>
          <w:kern w:val="0"/>
          <w:sz w:val="32"/>
          <w:szCs w:val="32"/>
          <w14:textFill>
            <w14:solidFill>
              <w14:schemeClr w14:val="tx1"/>
            </w14:solidFill>
          </w14:textFill>
        </w:rPr>
        <w:t>（三）发展机遇</w:t>
      </w:r>
      <w:bookmarkEnd w:id="136"/>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14:textFill>
            <w14:solidFill>
              <w14:schemeClr w14:val="tx1"/>
            </w14:solidFill>
          </w14:textFill>
        </w:rPr>
      </w:pPr>
      <w:r>
        <w:rPr>
          <w:rFonts w:hint="eastAsia" w:ascii="仿宋_GB2312" w:hAnsi="仿宋" w:eastAsia="仿宋_GB2312" w:cs="E-BX"/>
          <w:color w:val="000000" w:themeColor="text1"/>
          <w:kern w:val="0"/>
          <w:sz w:val="32"/>
          <w:szCs w:val="32"/>
          <w14:textFill>
            <w14:solidFill>
              <w14:schemeClr w14:val="tx1"/>
            </w14:solidFill>
          </w14:textFill>
        </w:rPr>
        <w:t>近年来，国家、省、市的相关政策支持和战略部署为经开区“数字政府”改革建设带来了前所未有的机遇，各地积极开展“数字政府”、“互联网+政务服务”建设，涌现出一批成功经验，同时，基于经开区发展定位，我区对标“最高最好最优”，加快“数字政府”建设适逢难得的历史机遇。</w:t>
      </w:r>
    </w:p>
    <w:p>
      <w:pPr>
        <w:pStyle w:val="4"/>
        <w:keepNext w:val="0"/>
        <w:keepLines w:val="0"/>
        <w:spacing w:before="0" w:after="0" w:line="560" w:lineRule="exact"/>
        <w:ind w:left="567"/>
        <w:rPr>
          <w:rFonts w:ascii="仿宋_GB2312" w:hAnsi="楷体" w:eastAsia="仿宋_GB2312"/>
          <w:color w:val="000000" w:themeColor="text1"/>
          <w14:textFill>
            <w14:solidFill>
              <w14:schemeClr w14:val="tx1"/>
            </w14:solidFill>
          </w14:textFill>
        </w:rPr>
      </w:pPr>
      <w:bookmarkStart w:id="137" w:name="_Toc58916834"/>
      <w:bookmarkStart w:id="138" w:name="_Toc57017151"/>
      <w:bookmarkStart w:id="139" w:name="_Toc72936827"/>
      <w:bookmarkStart w:id="140" w:name="_Toc64873698"/>
      <w:bookmarkStart w:id="141" w:name="_Toc75790483"/>
      <w:bookmarkStart w:id="142" w:name="_Toc57015427"/>
      <w:bookmarkStart w:id="143" w:name="_Toc59121342"/>
      <w:bookmarkStart w:id="144" w:name="_Toc57929307"/>
      <w:bookmarkStart w:id="145" w:name="_Toc64863201"/>
      <w:bookmarkStart w:id="146" w:name="_Toc56903765"/>
      <w:bookmarkStart w:id="147" w:name="_Toc58933670"/>
      <w:bookmarkStart w:id="148" w:name="_Toc63302982"/>
      <w:bookmarkStart w:id="149" w:name="_Toc57598680"/>
      <w:bookmarkStart w:id="150" w:name="_Toc67470114"/>
      <w:bookmarkStart w:id="151" w:name="_Toc58569936"/>
      <w:bookmarkStart w:id="152" w:name="_Toc56410716"/>
      <w:bookmarkStart w:id="153" w:name="_Toc68615335"/>
      <w:bookmarkStart w:id="154" w:name="_Toc63751394"/>
      <w:bookmarkStart w:id="155" w:name="_Toc64866063"/>
      <w:r>
        <w:rPr>
          <w:rFonts w:hint="eastAsia" w:ascii="仿宋_GB2312" w:hAnsi="楷体" w:eastAsia="仿宋_GB2312"/>
          <w:color w:val="000000" w:themeColor="text1"/>
          <w14:textFill>
            <w14:solidFill>
              <w14:schemeClr w14:val="tx1"/>
            </w14:solidFill>
          </w14:textFill>
        </w:rPr>
        <w:t>1.顶层部署、高位推进的政策优势</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14:textFill>
            <w14:solidFill>
              <w14:schemeClr w14:val="tx1"/>
            </w14:solidFill>
          </w14:textFill>
        </w:rPr>
      </w:pPr>
      <w:r>
        <w:rPr>
          <w:rFonts w:hint="eastAsia" w:ascii="仿宋_GB2312" w:hAnsi="仿宋" w:eastAsia="仿宋_GB2312" w:cs="E-BX"/>
          <w:color w:val="000000" w:themeColor="text1"/>
          <w:kern w:val="0"/>
          <w:sz w:val="32"/>
          <w:szCs w:val="32"/>
          <w14:textFill>
            <w14:solidFill>
              <w14:schemeClr w14:val="tx1"/>
            </w14:solidFill>
          </w14:textFill>
        </w:rPr>
        <w:t>党中央、国务院对“数字中国”作出了一系列重要部署，网络强国战略、国家信息化发展战略、大数据战略、“互联网+”行动计划等重大战略和行动全面推进实施。十九届四中全会审议通过的《中共中央关于坚持和完善中国特色社会主义制度、推进国家治理体系和治理能力现代化若干重大问题的决定》明确指出要“推进数字政府建设”。2</w:t>
      </w:r>
      <w:r>
        <w:rPr>
          <w:rFonts w:ascii="仿宋_GB2312" w:hAnsi="仿宋" w:eastAsia="仿宋_GB2312" w:cs="E-BX"/>
          <w:color w:val="000000" w:themeColor="text1"/>
          <w:kern w:val="0"/>
          <w:sz w:val="32"/>
          <w:szCs w:val="32"/>
          <w14:textFill>
            <w14:solidFill>
              <w14:schemeClr w14:val="tx1"/>
            </w14:solidFill>
          </w14:textFill>
        </w:rPr>
        <w:t>020</w:t>
      </w:r>
      <w:r>
        <w:rPr>
          <w:rFonts w:hint="eastAsia" w:ascii="仿宋_GB2312" w:hAnsi="仿宋" w:eastAsia="仿宋_GB2312" w:cs="E-BX"/>
          <w:color w:val="000000" w:themeColor="text1"/>
          <w:kern w:val="0"/>
          <w:sz w:val="32"/>
          <w:szCs w:val="32"/>
          <w14:textFill>
            <w14:solidFill>
              <w14:schemeClr w14:val="tx1"/>
            </w14:solidFill>
          </w14:textFill>
        </w:rPr>
        <w:t>年1</w:t>
      </w:r>
      <w:r>
        <w:rPr>
          <w:rFonts w:ascii="仿宋_GB2312" w:hAnsi="仿宋" w:eastAsia="仿宋_GB2312" w:cs="E-BX"/>
          <w:color w:val="000000" w:themeColor="text1"/>
          <w:kern w:val="0"/>
          <w:sz w:val="32"/>
          <w:szCs w:val="32"/>
          <w14:textFill>
            <w14:solidFill>
              <w14:schemeClr w14:val="tx1"/>
            </w14:solidFill>
          </w14:textFill>
        </w:rPr>
        <w:t>2</w:t>
      </w:r>
      <w:r>
        <w:rPr>
          <w:rFonts w:hint="eastAsia" w:ascii="仿宋_GB2312" w:hAnsi="仿宋" w:eastAsia="仿宋_GB2312" w:cs="E-BX"/>
          <w:color w:val="000000" w:themeColor="text1"/>
          <w:kern w:val="0"/>
          <w:sz w:val="32"/>
          <w:szCs w:val="32"/>
          <w14:textFill>
            <w14:solidFill>
              <w14:schemeClr w14:val="tx1"/>
            </w14:solidFill>
          </w14:textFill>
        </w:rPr>
        <w:t>月广东省长马兴瑞主持召开省“数字政府”改革建设工作领导小组会议，强调要继续加大省级对粤东粤西粤北地区政务信息化基础设施建设支持力度，扩大省级一体化政务服务平台的应用，实现地市“数字政府”建设跨越式发展。要进一步拓展“数字政府”平台型应用建设，全面提升“粤系列”平台功能，持续加大“粤商通”平台推广应用力度。在“数字中国、智慧社会”建设的大背景下，在省、市政府出台了一系列数字政府改革部署安排，经开区“数字政府”建设面临难得的发展机遇期。</w:t>
      </w:r>
    </w:p>
    <w:p>
      <w:pPr>
        <w:pStyle w:val="4"/>
        <w:keepNext w:val="0"/>
        <w:keepLines w:val="0"/>
        <w:spacing w:before="0" w:after="0" w:line="560" w:lineRule="exact"/>
        <w:ind w:left="567"/>
        <w:rPr>
          <w:rFonts w:ascii="仿宋_GB2312" w:hAnsi="楷体" w:eastAsia="仿宋_GB2312"/>
          <w:color w:val="000000" w:themeColor="text1"/>
          <w14:textFill>
            <w14:solidFill>
              <w14:schemeClr w14:val="tx1"/>
            </w14:solidFill>
          </w14:textFill>
        </w:rPr>
      </w:pPr>
      <w:bookmarkStart w:id="156" w:name="_Toc58569937"/>
      <w:bookmarkStart w:id="157" w:name="_Toc64866064"/>
      <w:bookmarkStart w:id="158" w:name="_Toc57929308"/>
      <w:bookmarkStart w:id="159" w:name="_Toc68615336"/>
      <w:bookmarkStart w:id="160" w:name="_Toc56410717"/>
      <w:bookmarkStart w:id="161" w:name="_Toc58933671"/>
      <w:bookmarkStart w:id="162" w:name="_Toc56903766"/>
      <w:bookmarkStart w:id="163" w:name="_Toc64873699"/>
      <w:bookmarkStart w:id="164" w:name="_Toc67470115"/>
      <w:bookmarkStart w:id="165" w:name="_Toc63751395"/>
      <w:bookmarkStart w:id="166" w:name="_Toc64863202"/>
      <w:bookmarkStart w:id="167" w:name="_Toc59121343"/>
      <w:bookmarkStart w:id="168" w:name="_Toc75790484"/>
      <w:bookmarkStart w:id="169" w:name="_Toc57015428"/>
      <w:bookmarkStart w:id="170" w:name="_Toc63302983"/>
      <w:bookmarkStart w:id="171" w:name="_Toc57017152"/>
      <w:bookmarkStart w:id="172" w:name="_Toc57598681"/>
      <w:bookmarkStart w:id="173" w:name="_Toc72936828"/>
      <w:bookmarkStart w:id="174" w:name="_Toc58916835"/>
      <w:r>
        <w:rPr>
          <w:rFonts w:hint="eastAsia" w:ascii="仿宋_GB2312" w:hAnsi="楷体" w:eastAsia="仿宋_GB2312"/>
          <w:color w:val="000000" w:themeColor="text1"/>
          <w14:textFill>
            <w14:solidFill>
              <w14:schemeClr w14:val="tx1"/>
            </w14:solidFill>
          </w14:textFill>
        </w:rPr>
        <w:t>2.对标先进、复制推广的经验便利</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14:textFill>
            <w14:solidFill>
              <w14:schemeClr w14:val="tx1"/>
            </w14:solidFill>
          </w14:textFill>
        </w:rPr>
      </w:pPr>
      <w:r>
        <w:rPr>
          <w:rFonts w:hint="eastAsia" w:ascii="仿宋_GB2312" w:hAnsi="仿宋" w:eastAsia="仿宋_GB2312" w:cs="E-BX"/>
          <w:color w:val="000000" w:themeColor="text1"/>
          <w:kern w:val="0"/>
          <w:sz w:val="32"/>
          <w:szCs w:val="32"/>
          <w14:textFill>
            <w14:solidFill>
              <w14:schemeClr w14:val="tx1"/>
            </w14:solidFill>
          </w14:textFill>
        </w:rPr>
        <w:t>全国各地积极探索“数字政府”建设，广东“数字政府”改革、江苏“不见面审批”、浙江“最多跑一次”、贵州“集成服务”、广州经开区“来就办，一次搞掂”，佛山禅城区“信任审批”、佛山高明区“智慧城市监管平台”、深圳龙华区“党建+科技+治理”模式等创新经验，发挥了标杆引领和示范带动作用，为我区“数字政府”建设提供前沿实践的样本和良好的经验借鉴。</w:t>
      </w:r>
    </w:p>
    <w:p>
      <w:pPr>
        <w:pStyle w:val="4"/>
        <w:keepNext w:val="0"/>
        <w:keepLines w:val="0"/>
        <w:spacing w:before="0" w:after="0" w:line="560" w:lineRule="exact"/>
        <w:ind w:left="567"/>
        <w:rPr>
          <w:rFonts w:ascii="仿宋_GB2312" w:hAnsi="楷体" w:eastAsia="仿宋_GB2312"/>
          <w:color w:val="000000" w:themeColor="text1"/>
          <w14:textFill>
            <w14:solidFill>
              <w14:schemeClr w14:val="tx1"/>
            </w14:solidFill>
          </w14:textFill>
        </w:rPr>
      </w:pPr>
      <w:bookmarkStart w:id="175" w:name="_Toc56410718"/>
      <w:bookmarkStart w:id="176" w:name="_Toc57015429"/>
      <w:bookmarkStart w:id="177" w:name="_Toc57017153"/>
      <w:bookmarkStart w:id="178" w:name="_Toc58916836"/>
      <w:bookmarkStart w:id="179" w:name="_Toc57929309"/>
      <w:bookmarkStart w:id="180" w:name="_Toc57598682"/>
      <w:bookmarkStart w:id="181" w:name="_Toc59121344"/>
      <w:bookmarkStart w:id="182" w:name="_Toc58569938"/>
      <w:bookmarkStart w:id="183" w:name="_Toc72936829"/>
      <w:bookmarkStart w:id="184" w:name="_Toc63302984"/>
      <w:bookmarkStart w:id="185" w:name="_Toc56903767"/>
      <w:bookmarkStart w:id="186" w:name="_Toc75790485"/>
      <w:bookmarkStart w:id="187" w:name="_Toc64873700"/>
      <w:bookmarkStart w:id="188" w:name="_Toc67470116"/>
      <w:bookmarkStart w:id="189" w:name="_Toc64863203"/>
      <w:bookmarkStart w:id="190" w:name="_Toc68615337"/>
      <w:bookmarkStart w:id="191" w:name="_Toc63751396"/>
      <w:bookmarkStart w:id="192" w:name="_Toc64866065"/>
      <w:bookmarkStart w:id="193" w:name="_Toc58933672"/>
      <w:r>
        <w:rPr>
          <w:rFonts w:hint="eastAsia" w:ascii="仿宋_GB2312" w:hAnsi="楷体" w:eastAsia="仿宋_GB2312"/>
          <w:color w:val="000000" w:themeColor="text1"/>
          <w14:textFill>
            <w14:solidFill>
              <w14:schemeClr w14:val="tx1"/>
            </w14:solidFill>
          </w14:textFill>
        </w:rPr>
        <w:t>3</w:t>
      </w:r>
      <w:bookmarkEnd w:id="175"/>
      <w:r>
        <w:rPr>
          <w:rFonts w:hint="eastAsia" w:ascii="仿宋_GB2312" w:hAnsi="楷体" w:eastAsia="仿宋_GB2312"/>
          <w:color w:val="000000" w:themeColor="text1"/>
          <w14:textFill>
            <w14:solidFill>
              <w14:schemeClr w14:val="tx1"/>
            </w14:solidFill>
          </w14:textFill>
        </w:rPr>
        <w:t>.数字赋能，引领经济的创新发展</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pPr>
        <w:pBdr>
          <w:bottom w:val="none" w:color="000000" w:sz="0" w:space="0"/>
        </w:pBdr>
        <w:spacing w:line="600" w:lineRule="exact"/>
        <w:ind w:firstLine="566" w:firstLineChars="177"/>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以云计算、大数据、物联网、移动互联网、</w:t>
      </w:r>
      <w:r>
        <w:rPr>
          <w:rFonts w:ascii="仿宋_GB2312" w:hAnsi="仿宋" w:eastAsia="仿宋_GB2312" w:cs="E-BX"/>
          <w:color w:val="000000" w:themeColor="text1"/>
          <w:kern w:val="0"/>
          <w:sz w:val="32"/>
          <w:szCs w:val="32"/>
          <w14:textFill>
            <w14:solidFill>
              <w14:schemeClr w14:val="tx1"/>
            </w14:solidFill>
          </w14:textFill>
        </w:rPr>
        <w:t>人工智能、区块链</w:t>
      </w:r>
      <w:r>
        <w:rPr>
          <w:rFonts w:hint="eastAsia" w:ascii="仿宋_GB2312" w:hAnsi="仿宋_GB2312" w:eastAsia="仿宋_GB2312" w:cs="仿宋_GB2312"/>
          <w:color w:val="000000" w:themeColor="text1"/>
          <w:sz w:val="32"/>
          <w:szCs w:val="32"/>
          <w14:textFill>
            <w14:solidFill>
              <w14:schemeClr w14:val="tx1"/>
            </w14:solidFill>
          </w14:textFill>
        </w:rPr>
        <w:t>等为代表的新一代信息技术高速发展、交叉融合，信息和通信技术领域创新空前活跃，新兴技术持续向经济领域渗透，新应用、新模式、新业态、新技术和新服务层出不穷，引领和催生各领域发展方式的革命性转变，实现对经开区城市建设管理和经济发展形成的各种海量数据进行实时采集、传输、处理、整合和分析。顺应互联网发展趋势，加快新一代信息技术服务政府职能转变、</w:t>
      </w:r>
      <w:r>
        <w:rPr>
          <w:rFonts w:ascii="仿宋_GB2312" w:hAnsi="仿宋" w:eastAsia="仿宋_GB2312" w:cs="E-BX"/>
          <w:color w:val="000000" w:themeColor="text1"/>
          <w:kern w:val="0"/>
          <w:sz w:val="32"/>
          <w:szCs w:val="32"/>
          <w14:textFill>
            <w14:solidFill>
              <w14:schemeClr w14:val="tx1"/>
            </w14:solidFill>
          </w14:textFill>
        </w:rPr>
        <w:t>治理能力提升</w:t>
      </w:r>
      <w:r>
        <w:rPr>
          <w:rFonts w:hint="eastAsia" w:ascii="仿宋_GB2312" w:hAnsi="仿宋_GB2312" w:eastAsia="仿宋_GB2312" w:cs="仿宋_GB2312"/>
          <w:color w:val="000000" w:themeColor="text1"/>
          <w:sz w:val="32"/>
          <w:szCs w:val="32"/>
          <w14:textFill>
            <w14:solidFill>
              <w14:schemeClr w14:val="tx1"/>
            </w14:solidFill>
          </w14:textFill>
        </w:rPr>
        <w:t>与</w:t>
      </w:r>
      <w:r>
        <w:rPr>
          <w:rFonts w:ascii="仿宋_GB2312" w:hAnsi="仿宋" w:eastAsia="仿宋_GB2312" w:cs="E-BX"/>
          <w:color w:val="000000" w:themeColor="text1"/>
          <w:kern w:val="0"/>
          <w:sz w:val="32"/>
          <w:szCs w:val="32"/>
          <w14:textFill>
            <w14:solidFill>
              <w14:schemeClr w14:val="tx1"/>
            </w14:solidFill>
          </w14:textFill>
        </w:rPr>
        <w:t>公共服务</w:t>
      </w:r>
      <w:r>
        <w:rPr>
          <w:rFonts w:hint="eastAsia" w:ascii="仿宋_GB2312" w:hAnsi="仿宋_GB2312" w:eastAsia="仿宋_GB2312" w:cs="仿宋_GB2312"/>
          <w:color w:val="000000" w:themeColor="text1"/>
          <w:sz w:val="32"/>
          <w:szCs w:val="32"/>
          <w14:textFill>
            <w14:solidFill>
              <w14:schemeClr w14:val="tx1"/>
            </w14:solidFill>
          </w14:textFill>
        </w:rPr>
        <w:t>改善，将成为经开区引领经济</w:t>
      </w:r>
      <w:r>
        <w:rPr>
          <w:rFonts w:ascii="仿宋_GB2312" w:hAnsi="仿宋" w:eastAsia="仿宋_GB2312" w:cs="E-BX"/>
          <w:color w:val="000000" w:themeColor="text1"/>
          <w:kern w:val="0"/>
          <w:sz w:val="32"/>
          <w:szCs w:val="32"/>
          <w14:textFill>
            <w14:solidFill>
              <w14:schemeClr w14:val="tx1"/>
            </w14:solidFill>
          </w14:textFill>
        </w:rPr>
        <w:t>高质量发展</w:t>
      </w:r>
      <w:r>
        <w:rPr>
          <w:rFonts w:hint="eastAsia" w:ascii="仿宋_GB2312" w:hAnsi="仿宋" w:eastAsia="仿宋_GB2312" w:cs="E-BX"/>
          <w:color w:val="000000" w:themeColor="text1"/>
          <w:kern w:val="0"/>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推进经济社会转型升级、</w:t>
      </w:r>
      <w:r>
        <w:rPr>
          <w:rFonts w:ascii="仿宋_GB2312" w:hAnsi="仿宋" w:eastAsia="仿宋_GB2312" w:cs="E-BX"/>
          <w:color w:val="000000" w:themeColor="text1"/>
          <w:kern w:val="0"/>
          <w:sz w:val="32"/>
          <w:szCs w:val="32"/>
          <w14:textFill>
            <w14:solidFill>
              <w14:schemeClr w14:val="tx1"/>
            </w14:solidFill>
          </w14:textFill>
        </w:rPr>
        <w:t>推动</w:t>
      </w:r>
      <w:r>
        <w:rPr>
          <w:rFonts w:hint="eastAsia" w:ascii="仿宋_GB2312" w:hAnsi="仿宋" w:eastAsia="仿宋_GB2312" w:cs="E-BX"/>
          <w:color w:val="000000" w:themeColor="text1"/>
          <w:kern w:val="0"/>
          <w:sz w:val="32"/>
          <w:szCs w:val="32"/>
          <w14:textFill>
            <w14:solidFill>
              <w14:schemeClr w14:val="tx1"/>
            </w14:solidFill>
          </w14:textFill>
        </w:rPr>
        <w:t>经开区</w:t>
      </w:r>
      <w:r>
        <w:rPr>
          <w:rFonts w:ascii="仿宋_GB2312" w:hAnsi="仿宋" w:eastAsia="仿宋_GB2312" w:cs="E-BX"/>
          <w:color w:val="000000" w:themeColor="text1"/>
          <w:kern w:val="0"/>
          <w:sz w:val="32"/>
          <w:szCs w:val="32"/>
          <w14:textFill>
            <w14:solidFill>
              <w14:schemeClr w14:val="tx1"/>
            </w14:solidFill>
          </w14:textFill>
        </w:rPr>
        <w:t>工业互联网、产业数字化转型</w:t>
      </w:r>
      <w:r>
        <w:rPr>
          <w:rFonts w:hint="eastAsia" w:ascii="仿宋_GB2312" w:hAnsi="仿宋_GB2312" w:eastAsia="仿宋_GB2312" w:cs="仿宋_GB2312"/>
          <w:color w:val="000000" w:themeColor="text1"/>
          <w:sz w:val="32"/>
          <w:szCs w:val="32"/>
          <w14:textFill>
            <w14:solidFill>
              <w14:schemeClr w14:val="tx1"/>
            </w14:solidFill>
          </w14:textFill>
        </w:rPr>
        <w:t>的重要路径。</w:t>
      </w:r>
    </w:p>
    <w:p>
      <w:pPr>
        <w:pStyle w:val="4"/>
        <w:keepNext w:val="0"/>
        <w:keepLines w:val="0"/>
        <w:spacing w:before="0" w:after="0" w:line="560" w:lineRule="exact"/>
        <w:ind w:left="567"/>
        <w:rPr>
          <w:rFonts w:ascii="仿宋_GB2312" w:hAnsi="楷体" w:eastAsia="仿宋_GB2312"/>
          <w:color w:val="000000" w:themeColor="text1"/>
          <w14:textFill>
            <w14:solidFill>
              <w14:schemeClr w14:val="tx1"/>
            </w14:solidFill>
          </w14:textFill>
        </w:rPr>
      </w:pPr>
      <w:bookmarkStart w:id="194" w:name="_Toc75790486"/>
      <w:bookmarkStart w:id="195" w:name="_Toc64863204"/>
      <w:bookmarkStart w:id="196" w:name="_Toc63302985"/>
      <w:bookmarkStart w:id="197" w:name="_Toc72936830"/>
      <w:bookmarkStart w:id="198" w:name="_Toc63751397"/>
      <w:bookmarkStart w:id="199" w:name="_Toc64873701"/>
      <w:bookmarkStart w:id="200" w:name="_Toc68615338"/>
      <w:bookmarkStart w:id="201" w:name="_Toc67470117"/>
      <w:bookmarkStart w:id="202" w:name="_Toc59121345"/>
      <w:bookmarkStart w:id="203" w:name="_Toc64866066"/>
      <w:bookmarkStart w:id="204" w:name="_Toc58933673"/>
      <w:r>
        <w:rPr>
          <w:rFonts w:ascii="仿宋_GB2312" w:hAnsi="楷体" w:eastAsia="仿宋_GB2312"/>
          <w:color w:val="000000" w:themeColor="text1"/>
          <w14:textFill>
            <w14:solidFill>
              <w14:schemeClr w14:val="tx1"/>
            </w14:solidFill>
          </w14:textFill>
        </w:rPr>
        <w:t>4</w:t>
      </w:r>
      <w:r>
        <w:rPr>
          <w:rFonts w:hint="eastAsia" w:ascii="仿宋_GB2312" w:hAnsi="楷体" w:eastAsia="仿宋_GB2312"/>
          <w:color w:val="000000" w:themeColor="text1"/>
          <w14:textFill>
            <w14:solidFill>
              <w14:schemeClr w14:val="tx1"/>
            </w14:solidFill>
          </w14:textFill>
        </w:rPr>
        <w:t>.区位战略，推动经开区高速发展</w:t>
      </w:r>
      <w:bookmarkEnd w:id="194"/>
      <w:bookmarkEnd w:id="195"/>
      <w:bookmarkEnd w:id="196"/>
      <w:bookmarkEnd w:id="197"/>
      <w:bookmarkEnd w:id="198"/>
      <w:bookmarkEnd w:id="199"/>
      <w:bookmarkEnd w:id="200"/>
      <w:bookmarkEnd w:id="201"/>
      <w:bookmarkEnd w:id="202"/>
      <w:bookmarkEnd w:id="203"/>
      <w:bookmarkEnd w:id="204"/>
    </w:p>
    <w:p>
      <w:pPr>
        <w:pBdr>
          <w:bottom w:val="none" w:color="000000" w:sz="0" w:space="0"/>
        </w:pBdr>
        <w:spacing w:line="600" w:lineRule="exact"/>
        <w:ind w:firstLine="566" w:firstLineChars="177"/>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随着湛江钢铁、中科炼化、巴斯夫及十大工业项目相继落户东海岛，产业基础优势明显。经开区作为湛江工业发展的主战场，围绕“打造世界最高效率的绿色碳钢生产基地”和“建设世界级现代化石化产业基地”等定位，高标准谋划钢铁石化产业发展，紧抓延链补链强链，持续引进高质量项目，谋划建设好大型产业园区，打造现代化世界级临港产业集聚基地、构建高水平现代产业体系，为经开区加快推动高质量发展，发挥湛江改革发展的“领跑者”、经济发展的“支撑者”、推动发展的“先锋者”三大作用，带来了全新的历史性机遇。</w:t>
      </w:r>
    </w:p>
    <w:p>
      <w:pPr>
        <w:pStyle w:val="2"/>
        <w:keepNext/>
        <w:keepLines/>
        <w:widowControl w:val="0"/>
        <w:spacing w:before="0" w:beforeAutospacing="0" w:after="0" w:afterAutospacing="0" w:line="579" w:lineRule="exact"/>
        <w:ind w:firstLine="640" w:firstLineChars="200"/>
        <w:jc w:val="both"/>
        <w:rPr>
          <w:rFonts w:ascii="Times New Roman" w:hAnsi="黑体" w:eastAsia="黑体" w:cs="Times New Roman"/>
          <w:b w:val="0"/>
          <w:color w:val="000000" w:themeColor="text1"/>
          <w:kern w:val="44"/>
          <w:sz w:val="32"/>
          <w:szCs w:val="32"/>
          <w:lang w:val="zh-CN"/>
          <w14:textFill>
            <w14:solidFill>
              <w14:schemeClr w14:val="tx1"/>
            </w14:solidFill>
          </w14:textFill>
        </w:rPr>
      </w:pPr>
      <w:bookmarkStart w:id="205" w:name="_Toc75790487"/>
      <w:r>
        <w:rPr>
          <w:rFonts w:hint="eastAsia" w:ascii="Times New Roman" w:hAnsi="黑体" w:eastAsia="黑体" w:cs="Times New Roman"/>
          <w:b w:val="0"/>
          <w:color w:val="000000" w:themeColor="text1"/>
          <w:kern w:val="44"/>
          <w:sz w:val="32"/>
          <w:szCs w:val="32"/>
          <w:lang w:val="zh-CN"/>
          <w14:textFill>
            <w14:solidFill>
              <w14:schemeClr w14:val="tx1"/>
            </w14:solidFill>
          </w14:textFill>
        </w:rPr>
        <w:t>二、总体要求</w:t>
      </w:r>
      <w:bookmarkEnd w:id="205"/>
    </w:p>
    <w:p>
      <w:pPr>
        <w:widowControl/>
        <w:spacing w:line="560" w:lineRule="exact"/>
        <w:ind w:firstLine="640" w:firstLineChars="200"/>
        <w:jc w:val="left"/>
        <w:outlineLvl w:val="1"/>
        <w:rPr>
          <w:rFonts w:ascii="楷体_GB2312" w:hAnsi="黑体" w:eastAsia="楷体_GB2312" w:cs="仿宋_GB2312"/>
          <w:color w:val="000000" w:themeColor="text1"/>
          <w:kern w:val="0"/>
          <w:sz w:val="32"/>
          <w:szCs w:val="32"/>
          <w14:textFill>
            <w14:solidFill>
              <w14:schemeClr w14:val="tx1"/>
            </w14:solidFill>
          </w14:textFill>
        </w:rPr>
      </w:pPr>
      <w:bookmarkStart w:id="206" w:name="_Toc75790488"/>
      <w:r>
        <w:rPr>
          <w:rFonts w:hint="eastAsia" w:ascii="楷体_GB2312" w:hAnsi="黑体" w:eastAsia="楷体_GB2312" w:cs="仿宋_GB2312"/>
          <w:color w:val="000000" w:themeColor="text1"/>
          <w:kern w:val="0"/>
          <w:sz w:val="32"/>
          <w:szCs w:val="32"/>
          <w14:textFill>
            <w14:solidFill>
              <w14:schemeClr w14:val="tx1"/>
            </w14:solidFill>
          </w14:textFill>
        </w:rPr>
        <w:t>（一）指导思想</w:t>
      </w:r>
      <w:bookmarkEnd w:id="206"/>
    </w:p>
    <w:p>
      <w:pPr>
        <w:autoSpaceDE w:val="0"/>
        <w:autoSpaceDN w:val="0"/>
        <w:adjustRightInd w:val="0"/>
        <w:spacing w:line="560" w:lineRule="exact"/>
        <w:ind w:firstLine="640" w:firstLineChars="200"/>
        <w:rPr>
          <w:rFonts w:hint="eastAsia" w:ascii="仿宋_GB2312" w:hAnsi="仿宋" w:eastAsia="仿宋_GB2312" w:cs="E-BX"/>
          <w:color w:val="000000" w:themeColor="text1"/>
          <w:kern w:val="0"/>
          <w:sz w:val="32"/>
          <w:szCs w:val="32"/>
          <w14:textFill>
            <w14:solidFill>
              <w14:schemeClr w14:val="tx1"/>
            </w14:solidFill>
          </w14:textFill>
        </w:rPr>
      </w:pPr>
      <w:r>
        <w:rPr>
          <w:rFonts w:hint="eastAsia" w:ascii="仿宋_GB2312" w:hAnsi="仿宋" w:eastAsia="仿宋_GB2312" w:cs="E-BX"/>
          <w:color w:val="000000" w:themeColor="text1"/>
          <w:kern w:val="0"/>
          <w:sz w:val="32"/>
          <w:szCs w:val="32"/>
          <w14:textFill>
            <w14:solidFill>
              <w14:schemeClr w14:val="tx1"/>
            </w14:solidFill>
          </w14:textFill>
        </w:rPr>
        <w:t>以习近平新时代中国特色社会主义思想为指导，全面贯彻党的十九大和十九届二中、三中、四中、五中全会精神以及中央经济工作会议精神，深入贯彻习近平总书记出席深圳经济特区建立40周年庆祝大会和广东重要讲话、重要指示批示精神，落实省委“1+1+9”工作部署、省委第十二届十一次、十二次全会要求，坚持稳中求进工作总基调，坚持</w:t>
      </w:r>
      <w:r>
        <w:rPr>
          <w:rFonts w:ascii="仿宋_GB2312" w:hAnsi="仿宋" w:eastAsia="仿宋_GB2312" w:cs="E-BX"/>
          <w:color w:val="000000" w:themeColor="text1"/>
          <w:kern w:val="0"/>
          <w:sz w:val="32"/>
          <w:szCs w:val="32"/>
          <w14:textFill>
            <w14:solidFill>
              <w14:schemeClr w14:val="tx1"/>
            </w14:solidFill>
          </w14:textFill>
        </w:rPr>
        <w:t>新发展理念</w:t>
      </w:r>
      <w:r>
        <w:rPr>
          <w:rFonts w:hint="eastAsia" w:ascii="仿宋_GB2312" w:hAnsi="仿宋" w:eastAsia="仿宋_GB2312" w:cs="E-BX"/>
          <w:color w:val="000000" w:themeColor="text1"/>
          <w:kern w:val="0"/>
          <w:sz w:val="32"/>
          <w:szCs w:val="32"/>
          <w14:textFill>
            <w14:solidFill>
              <w14:schemeClr w14:val="tx1"/>
            </w14:solidFill>
          </w14:textFill>
        </w:rPr>
        <w:t>，聚焦《广东省数字政府省域治理“一网统管”三年行动计划》，</w:t>
      </w:r>
      <w:r>
        <w:rPr>
          <w:rFonts w:hint="eastAsia" w:ascii="仿宋_GB2312" w:hAnsi="仿宋" w:eastAsia="仿宋_GB2312" w:cs="E-BX"/>
          <w:color w:val="000000" w:themeColor="text1"/>
          <w:kern w:val="0"/>
          <w:sz w:val="32"/>
          <w:szCs w:val="32"/>
          <w14:textFill>
            <w14:solidFill>
              <w14:schemeClr w14:val="tx1"/>
            </w14:solidFill>
          </w14:textFill>
        </w:rPr>
        <w:t>以数字化培育新动能，用新动能推动新发展。立足湛江经开区经济社会发展现状和需求，把握“数字引领经开区未来”的发展主线，以推动高质量发展为主题，以建设高水平数字政府为统揽，以新型智慧城市建设为抓手，将5G、大数据、人工智能等新技术与数据要素全面融入数字政府建设，充分发挥数字政府建设对服务经开区钢铁、石化、造纸等现代化临港产业集群和现代化经济体系的引领作用，突出数字化引领、智能化赋能，为经开区营造一流营商环境，推进区域治理体系和治理能力现代化，实现经济行稳致远、社会安定和谐。</w:t>
      </w:r>
    </w:p>
    <w:p>
      <w:pPr>
        <w:widowControl/>
        <w:spacing w:line="560" w:lineRule="exact"/>
        <w:ind w:firstLine="640" w:firstLineChars="200"/>
        <w:jc w:val="left"/>
        <w:outlineLvl w:val="1"/>
        <w:rPr>
          <w:rFonts w:ascii="楷体_GB2312" w:hAnsi="黑体" w:eastAsia="楷体_GB2312" w:cs="仿宋_GB2312"/>
          <w:color w:val="000000" w:themeColor="text1"/>
          <w:kern w:val="0"/>
          <w:sz w:val="32"/>
          <w:szCs w:val="32"/>
          <w14:textFill>
            <w14:solidFill>
              <w14:schemeClr w14:val="tx1"/>
            </w14:solidFill>
          </w14:textFill>
        </w:rPr>
      </w:pPr>
      <w:bookmarkStart w:id="207" w:name="_Toc75790489"/>
      <w:r>
        <w:rPr>
          <w:rFonts w:hint="eastAsia" w:ascii="楷体_GB2312" w:hAnsi="黑体" w:eastAsia="楷体_GB2312" w:cs="仿宋_GB2312"/>
          <w:color w:val="000000" w:themeColor="text1"/>
          <w:kern w:val="0"/>
          <w:sz w:val="32"/>
          <w:szCs w:val="32"/>
          <w14:textFill>
            <w14:solidFill>
              <w14:schemeClr w14:val="tx1"/>
            </w14:solidFill>
          </w14:textFill>
        </w:rPr>
        <w:t>（二）愿景定位</w:t>
      </w:r>
      <w:bookmarkEnd w:id="207"/>
    </w:p>
    <w:p>
      <w:pPr>
        <w:autoSpaceDE w:val="0"/>
        <w:autoSpaceDN w:val="0"/>
        <w:adjustRightInd w:val="0"/>
        <w:spacing w:line="560" w:lineRule="exact"/>
        <w:ind w:firstLine="640" w:firstLineChars="200"/>
        <w:rPr>
          <w:rFonts w:hint="eastAsia" w:ascii="仿宋_GB2312" w:hAnsi="仿宋" w:eastAsia="仿宋_GB2312" w:cs="E-BX"/>
          <w:color w:val="000000" w:themeColor="text1"/>
          <w:kern w:val="0"/>
          <w:sz w:val="32"/>
          <w:szCs w:val="32"/>
          <w14:textFill>
            <w14:solidFill>
              <w14:schemeClr w14:val="tx1"/>
            </w14:solidFill>
          </w14:textFill>
        </w:rPr>
      </w:pPr>
      <w:r>
        <w:rPr>
          <w:rFonts w:hint="eastAsia" w:ascii="仿宋_GB2312" w:hAnsi="仿宋" w:eastAsia="仿宋_GB2312" w:cs="E-BX"/>
          <w:color w:val="000000" w:themeColor="text1"/>
          <w:kern w:val="0"/>
          <w:sz w:val="32"/>
          <w:szCs w:val="32"/>
          <w14:textFill>
            <w14:solidFill>
              <w14:schemeClr w14:val="tx1"/>
            </w14:solidFill>
          </w14:textFill>
        </w:rPr>
        <w:t>湛江经开区紧紧围绕“湛江全力建设省域副中心城市、加快打造现代化沿海经济带重要发展极的重要增长极、支撑地、排头兵”的总定位总目标，高标准推进我区数字政府改革建设，抓紧抓实基础底座建设，促进信息技术与政府治理深度融合，优化管理体系和管理流程，打造我区政务服务的特色亮点，创造优质的营商环境，全力塑造“数智经开”新形象，到2023年建成与省市高度协同、管理科学、平战结合的“一网统管”工作体系，实现城区治理可感、可视、可控、可治；到2025年成为全市政府数字化转型样板区和社会治理现代化先行区，迈向一流国家级开发区的行列。</w:t>
      </w:r>
    </w:p>
    <w:p>
      <w:pPr>
        <w:autoSpaceDE w:val="0"/>
        <w:autoSpaceDN w:val="0"/>
        <w:adjustRightInd w:val="0"/>
        <w:spacing w:line="560" w:lineRule="exact"/>
        <w:ind w:firstLine="640" w:firstLineChars="200"/>
        <w:rPr>
          <w:rFonts w:hint="eastAsia" w:ascii="仿宋_GB2312" w:hAnsi="仿宋" w:eastAsia="仿宋_GB2312" w:cs="E-BX"/>
          <w:color w:val="000000" w:themeColor="text1"/>
          <w:kern w:val="0"/>
          <w:sz w:val="32"/>
          <w:szCs w:val="32"/>
          <w14:textFill>
            <w14:solidFill>
              <w14:schemeClr w14:val="tx1"/>
            </w14:solidFill>
          </w14:textFill>
        </w:rPr>
      </w:pPr>
      <w:r>
        <w:rPr>
          <w:rFonts w:hint="eastAsia" w:ascii="仿宋_GB2312" w:hAnsi="仿宋" w:eastAsia="仿宋_GB2312" w:cs="E-BX"/>
          <w:color w:val="000000" w:themeColor="text1"/>
          <w:kern w:val="0"/>
          <w:sz w:val="32"/>
          <w:szCs w:val="32"/>
          <w14:textFill>
            <w14:solidFill>
              <w14:schemeClr w14:val="tx1"/>
            </w14:solidFill>
          </w14:textFill>
        </w:rPr>
        <w:t>——基础设施支撑有力。充分利用好市级政务云平台；升级扩容区、镇（街）、村（社区）四级政务外网骨干网，提升网络传输支撑能力；深度覆盖5G网络、窄带物联网等新一代信息网络，</w:t>
      </w:r>
      <w:r>
        <w:rPr>
          <w:rFonts w:hint="eastAsia" w:ascii="仿宋_GB2312" w:hAnsi="仿宋" w:eastAsia="仿宋_GB2312" w:cs="E-BX"/>
          <w:color w:val="000000" w:themeColor="text1"/>
          <w:kern w:val="0"/>
          <w:sz w:val="32"/>
          <w:szCs w:val="32"/>
          <w14:textFill>
            <w14:solidFill>
              <w14:schemeClr w14:val="tx1"/>
            </w14:solidFill>
          </w14:textFill>
        </w:rPr>
        <w:t>有力支撑智慧应用场景，构建形成对我区运行状态实时感知、全局分析的态势感知体系，筑牢“一网统管”基座</w:t>
      </w:r>
      <w:r>
        <w:rPr>
          <w:rFonts w:hint="eastAsia" w:ascii="仿宋_GB2312" w:hAnsi="仿宋" w:eastAsia="仿宋_GB2312" w:cs="E-BX"/>
          <w:color w:val="000000" w:themeColor="text1"/>
          <w:kern w:val="0"/>
          <w:sz w:val="32"/>
          <w:szCs w:val="32"/>
          <w14:textFill>
            <w14:solidFill>
              <w14:schemeClr w14:val="tx1"/>
            </w14:solidFill>
          </w14:textFill>
        </w:rPr>
        <w:t>。</w:t>
      </w:r>
    </w:p>
    <w:p>
      <w:pPr>
        <w:autoSpaceDE w:val="0"/>
        <w:autoSpaceDN w:val="0"/>
        <w:adjustRightInd w:val="0"/>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仿宋_GB2312" w:hAnsi="仿宋" w:eastAsia="仿宋_GB2312" w:cs="E-BX"/>
          <w:color w:val="000000" w:themeColor="text1"/>
          <w:kern w:val="0"/>
          <w:sz w:val="32"/>
          <w:szCs w:val="32"/>
          <w14:textFill>
            <w14:solidFill>
              <w14:schemeClr w14:val="tx1"/>
            </w14:solidFill>
          </w14:textFill>
        </w:rPr>
        <w:t>——数据资源全时共享。强化统筹整合各类信息资源，实现区级数据动态共享与市级平台互联互通，打造有深度的经开区一体化数据资源体系，促进数据资源的整合共享和开发应用。</w:t>
      </w:r>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14:textFill>
            <w14:solidFill>
              <w14:schemeClr w14:val="tx1"/>
            </w14:solidFill>
          </w14:textFill>
        </w:rPr>
      </w:pPr>
      <w:r>
        <w:rPr>
          <w:rFonts w:hint="eastAsia" w:ascii="仿宋_GB2312" w:hAnsi="仿宋" w:eastAsia="仿宋_GB2312" w:cs="E-BX"/>
          <w:color w:val="000000" w:themeColor="text1"/>
          <w:kern w:val="0"/>
          <w:sz w:val="32"/>
          <w:szCs w:val="32"/>
          <w14:textFill>
            <w14:solidFill>
              <w14:schemeClr w14:val="tx1"/>
            </w14:solidFill>
          </w14:textFill>
        </w:rPr>
        <w:t>——全区联动一体运行。依托市级“一网统管”基础平台，建成经开区综合运行管理中心，</w:t>
      </w:r>
      <w:r>
        <w:rPr>
          <w:rFonts w:hint="eastAsia" w:ascii="仿宋_GB2312" w:hAnsi="仿宋" w:eastAsia="仿宋_GB2312" w:cs="E-BX"/>
          <w:color w:val="000000" w:themeColor="text1"/>
          <w:kern w:val="0"/>
          <w:sz w:val="32"/>
          <w:szCs w:val="32"/>
          <w14:textFill>
            <w14:solidFill>
              <w14:schemeClr w14:val="tx1"/>
            </w14:solidFill>
          </w14:textFill>
        </w:rPr>
        <w:t>建设“1+6+N”</w:t>
      </w:r>
      <w:r>
        <w:rPr>
          <w:rFonts w:hint="eastAsia" w:ascii="仿宋_GB2312" w:hAnsi="仿宋" w:eastAsia="仿宋_GB2312" w:cs="E-BX"/>
          <w:color w:val="000000" w:themeColor="text1"/>
          <w:kern w:val="0"/>
          <w:sz w:val="32"/>
          <w:szCs w:val="32"/>
          <w14:textFill>
            <w14:solidFill>
              <w14:schemeClr w14:val="tx1"/>
            </w14:solidFill>
          </w14:textFill>
        </w:rPr>
        <w:t>运行指挥体系（“1”指经开区综合运行管理中心、“6</w:t>
      </w:r>
      <w:r>
        <w:rPr>
          <w:rFonts w:hint="eastAsia" w:ascii="仿宋_GB2312" w:hAnsi="仿宋" w:eastAsia="仿宋_GB2312" w:cs="E-BX"/>
          <w:color w:val="000000" w:themeColor="text1"/>
          <w:kern w:val="0"/>
          <w:sz w:val="32"/>
          <w:szCs w:val="32"/>
          <w14:textFill>
            <w14:solidFill>
              <w14:schemeClr w14:val="tx1"/>
            </w14:solidFill>
          </w14:textFill>
        </w:rPr>
        <w:t>”指街道（镇）指挥联动中心、“N”指各职能部门指挥联动中心），开展城区态势感知、联动指挥、辅助决策，形成全区快速的综合响应与协同联动，实现“一网统管”政府治理新模式。</w:t>
      </w:r>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14:textFill>
            <w14:solidFill>
              <w14:schemeClr w14:val="tx1"/>
            </w14:solidFill>
          </w14:textFill>
        </w:rPr>
      </w:pPr>
      <w:r>
        <w:rPr>
          <w:rFonts w:hint="eastAsia" w:ascii="仿宋_GB2312" w:hAnsi="仿宋" w:eastAsia="仿宋_GB2312" w:cs="E-BX"/>
          <w:color w:val="000000" w:themeColor="text1"/>
          <w:kern w:val="0"/>
          <w:sz w:val="32"/>
          <w:szCs w:val="32"/>
          <w14:textFill>
            <w14:solidFill>
              <w14:schemeClr w14:val="tx1"/>
            </w14:solidFill>
          </w14:textFill>
        </w:rPr>
        <w:t>——政务服务“一网通办”。打造“一网办、一窗办、一次办、一机办、一码办”的政务服务体系，树立“乐享政服”品牌，提升经开区政务服务质量，为企业与群众全生命周期提供智能化、精准化服务，增强经开区发展环境的吸引力和竞争力。</w:t>
      </w:r>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14:textFill>
            <w14:solidFill>
              <w14:schemeClr w14:val="tx1"/>
            </w14:solidFill>
          </w14:textFill>
        </w:rPr>
      </w:pPr>
      <w:r>
        <w:rPr>
          <w:rFonts w:hint="eastAsia" w:ascii="仿宋_GB2312" w:hAnsi="仿宋" w:eastAsia="仿宋_GB2312" w:cs="E-BX"/>
          <w:color w:val="000000" w:themeColor="text1"/>
          <w:kern w:val="0"/>
          <w:sz w:val="32"/>
          <w:szCs w:val="32"/>
          <w14:textFill>
            <w14:solidFill>
              <w14:schemeClr w14:val="tx1"/>
            </w14:solidFill>
          </w14:textFill>
        </w:rPr>
        <w:t>——产业发展创新驱动。推动园区综合信息管理体系构建，加强与企业的数据互通，提高园区整体管理水平和决策科学化水平。开辟招商引资新渠道，发展壮大数字经济新模式、新业态，培育经开区宜工、宜商的产业环境，以数字手段赋能产业蓬勃发展。</w:t>
      </w:r>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14:textFill>
            <w14:solidFill>
              <w14:schemeClr w14:val="tx1"/>
            </w14:solidFill>
          </w14:textFill>
        </w:rPr>
      </w:pPr>
      <w:r>
        <w:rPr>
          <w:rFonts w:hint="eastAsia" w:ascii="仿宋_GB2312" w:hAnsi="仿宋" w:eastAsia="仿宋_GB2312" w:cs="E-BX"/>
          <w:color w:val="000000" w:themeColor="text1"/>
          <w:kern w:val="0"/>
          <w:sz w:val="32"/>
          <w:szCs w:val="32"/>
          <w14:textFill>
            <w14:solidFill>
              <w14:schemeClr w14:val="tx1"/>
            </w14:solidFill>
          </w14:textFill>
        </w:rPr>
        <w:t>——民生服务普惠便捷。应用5G、大数据、人工智能、区块链等技术，围绕教育、医疗、社区、文旅等民生领域，发挥数字化资源整合、多样化渠道、模式创新等优势，构建线上线下融合、城乡服务一体的民生服务体系，打造宜居之城。</w:t>
      </w:r>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14:textFill>
            <w14:solidFill>
              <w14:schemeClr w14:val="tx1"/>
            </w14:solidFill>
          </w14:textFill>
        </w:rPr>
      </w:pPr>
      <w:r>
        <w:rPr>
          <w:rFonts w:hint="eastAsia" w:ascii="仿宋_GB2312" w:hAnsi="仿宋" w:eastAsia="仿宋_GB2312" w:cs="E-BX"/>
          <w:color w:val="000000" w:themeColor="text1"/>
          <w:kern w:val="0"/>
          <w:sz w:val="32"/>
          <w:szCs w:val="32"/>
          <w14:textFill>
            <w14:solidFill>
              <w14:schemeClr w14:val="tx1"/>
            </w14:solidFill>
          </w14:textFill>
        </w:rPr>
        <w:t>——城区治理高效精细。创新安防、应急、司法、市场监管、环境保护等方面的应用，构建跨部门联动，形成覆盖广、多层次、高质量的城区治理体系，提升城区管理数字化、应急快速化、决策科学化水平，使整个城区治理更加细致细腻，为全区经济社会发展营造更加和谐稳定的社会环境。</w:t>
      </w:r>
    </w:p>
    <w:p>
      <w:pPr>
        <w:widowControl/>
        <w:spacing w:line="560" w:lineRule="exact"/>
        <w:ind w:firstLine="640" w:firstLineChars="200"/>
        <w:jc w:val="left"/>
        <w:outlineLvl w:val="1"/>
        <w:rPr>
          <w:rFonts w:ascii="楷体_GB2312" w:hAnsi="黑体" w:eastAsia="楷体_GB2312" w:cs="仿宋_GB2312"/>
          <w:color w:val="000000" w:themeColor="text1"/>
          <w:kern w:val="0"/>
          <w:sz w:val="32"/>
          <w:szCs w:val="32"/>
          <w14:textFill>
            <w14:solidFill>
              <w14:schemeClr w14:val="tx1"/>
            </w14:solidFill>
          </w14:textFill>
        </w:rPr>
      </w:pPr>
      <w:bookmarkStart w:id="208" w:name="_Toc75790490"/>
      <w:r>
        <w:rPr>
          <w:rFonts w:hint="eastAsia" w:ascii="楷体_GB2312" w:hAnsi="黑体" w:eastAsia="楷体_GB2312" w:cs="仿宋_GB2312"/>
          <w:color w:val="000000" w:themeColor="text1"/>
          <w:kern w:val="0"/>
          <w:sz w:val="32"/>
          <w:szCs w:val="32"/>
          <w14:textFill>
            <w14:solidFill>
              <w14:schemeClr w14:val="tx1"/>
            </w14:solidFill>
          </w14:textFill>
        </w:rPr>
        <w:t>（三）规划目标</w:t>
      </w:r>
      <w:bookmarkEnd w:id="208"/>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14:textFill>
            <w14:solidFill>
              <w14:schemeClr w14:val="tx1"/>
            </w14:solidFill>
          </w14:textFill>
        </w:rPr>
      </w:pPr>
      <w:r>
        <w:rPr>
          <w:rFonts w:hint="eastAsia" w:ascii="仿宋_GB2312" w:hAnsi="仿宋" w:eastAsia="仿宋_GB2312" w:cs="E-BX"/>
          <w:color w:val="000000" w:themeColor="text1"/>
          <w:kern w:val="0"/>
          <w:sz w:val="32"/>
          <w:szCs w:val="32"/>
          <w14:textFill>
            <w14:solidFill>
              <w14:schemeClr w14:val="tx1"/>
            </w14:solidFill>
          </w14:textFill>
        </w:rPr>
        <w:t>到2</w:t>
      </w:r>
      <w:r>
        <w:rPr>
          <w:rFonts w:ascii="仿宋_GB2312" w:hAnsi="仿宋" w:eastAsia="仿宋_GB2312" w:cs="E-BX"/>
          <w:color w:val="000000" w:themeColor="text1"/>
          <w:kern w:val="0"/>
          <w:sz w:val="32"/>
          <w:szCs w:val="32"/>
          <w14:textFill>
            <w14:solidFill>
              <w14:schemeClr w14:val="tx1"/>
            </w14:solidFill>
          </w14:textFill>
        </w:rPr>
        <w:t>025</w:t>
      </w:r>
      <w:r>
        <w:rPr>
          <w:rFonts w:hint="eastAsia" w:ascii="仿宋_GB2312" w:hAnsi="仿宋" w:eastAsia="仿宋_GB2312" w:cs="E-BX"/>
          <w:color w:val="000000" w:themeColor="text1"/>
          <w:kern w:val="0"/>
          <w:sz w:val="32"/>
          <w:szCs w:val="32"/>
          <w14:textFill>
            <w14:solidFill>
              <w14:schemeClr w14:val="tx1"/>
            </w14:solidFill>
          </w14:textFill>
        </w:rPr>
        <w:t>年，经开区政务服务能力、营商环境达到国内一流水平，实现经济分析能力和产业支撑能力全面提升。</w:t>
      </w:r>
    </w:p>
    <w:p>
      <w:pPr>
        <w:pStyle w:val="4"/>
        <w:keepNext w:val="0"/>
        <w:keepLines w:val="0"/>
        <w:spacing w:before="0" w:after="0" w:line="560" w:lineRule="exact"/>
        <w:ind w:left="567"/>
        <w:rPr>
          <w:rFonts w:ascii="仿宋_GB2312" w:hAnsi="楷体" w:eastAsia="仿宋_GB2312"/>
          <w:color w:val="000000" w:themeColor="text1"/>
          <w14:textFill>
            <w14:solidFill>
              <w14:schemeClr w14:val="tx1"/>
            </w14:solidFill>
          </w14:textFill>
        </w:rPr>
      </w:pPr>
      <w:bookmarkStart w:id="209" w:name="_Toc63302990"/>
      <w:bookmarkStart w:id="210" w:name="_Toc58569946"/>
      <w:bookmarkStart w:id="211" w:name="_Toc64863209"/>
      <w:bookmarkStart w:id="212" w:name="_Toc68615343"/>
      <w:bookmarkStart w:id="213" w:name="_Toc58933678"/>
      <w:bookmarkStart w:id="214" w:name="_Toc57929317"/>
      <w:bookmarkStart w:id="215" w:name="_Toc57598690"/>
      <w:bookmarkStart w:id="216" w:name="_Toc59121350"/>
      <w:bookmarkStart w:id="217" w:name="_Toc56903775"/>
      <w:bookmarkStart w:id="218" w:name="_Toc57017161"/>
      <w:bookmarkStart w:id="219" w:name="_Toc63751402"/>
      <w:bookmarkStart w:id="220" w:name="_Toc67470122"/>
      <w:bookmarkStart w:id="221" w:name="_Toc72936835"/>
      <w:bookmarkStart w:id="222" w:name="_Toc58916844"/>
      <w:bookmarkStart w:id="223" w:name="_Toc64873706"/>
      <w:bookmarkStart w:id="224" w:name="_Toc57015330"/>
      <w:bookmarkStart w:id="225" w:name="_Toc57015437"/>
      <w:bookmarkStart w:id="226" w:name="_Toc75790491"/>
      <w:bookmarkStart w:id="227" w:name="_Toc64866071"/>
      <w:r>
        <w:rPr>
          <w:rFonts w:hint="eastAsia" w:ascii="仿宋_GB2312" w:hAnsi="楷体" w:eastAsia="仿宋_GB2312"/>
          <w:color w:val="000000" w:themeColor="text1"/>
          <w14:textFill>
            <w14:solidFill>
              <w14:schemeClr w14:val="tx1"/>
            </w14:solidFill>
          </w14:textFill>
        </w:rPr>
        <w:t>1</w:t>
      </w:r>
      <w:r>
        <w:rPr>
          <w:rFonts w:ascii="仿宋_GB2312" w:hAnsi="楷体" w:eastAsia="仿宋_GB2312"/>
          <w:color w:val="000000" w:themeColor="text1"/>
          <w14:textFill>
            <w14:solidFill>
              <w14:schemeClr w14:val="tx1"/>
            </w14:solidFill>
          </w14:textFill>
        </w:rPr>
        <w:t>.</w:t>
      </w:r>
      <w:r>
        <w:rPr>
          <w:rFonts w:hint="eastAsia" w:ascii="仿宋_GB2312" w:hAnsi="楷体" w:eastAsia="仿宋_GB2312"/>
          <w:color w:val="000000" w:themeColor="text1"/>
          <w14:textFill>
            <w14:solidFill>
              <w14:schemeClr w14:val="tx1"/>
            </w14:solidFill>
          </w14:textFill>
        </w:rPr>
        <w:t>夯实基础阶段(2021-</w:t>
      </w:r>
      <w:r>
        <w:rPr>
          <w:rFonts w:ascii="仿宋_GB2312" w:hAnsi="楷体" w:eastAsia="仿宋_GB2312"/>
          <w:color w:val="000000" w:themeColor="text1"/>
          <w14:textFill>
            <w14:solidFill>
              <w14:schemeClr w14:val="tx1"/>
            </w14:solidFill>
          </w14:textFill>
        </w:rPr>
        <w:t>2022</w:t>
      </w:r>
      <w:r>
        <w:rPr>
          <w:rFonts w:hint="eastAsia" w:ascii="仿宋_GB2312" w:hAnsi="楷体" w:eastAsia="仿宋_GB2312"/>
          <w:color w:val="000000" w:themeColor="text1"/>
          <w14:textFill>
            <w14:solidFill>
              <w14:schemeClr w14:val="tx1"/>
            </w14:solidFill>
          </w14:textFill>
        </w:rPr>
        <w:t>年底)</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14:textFill>
            <w14:solidFill>
              <w14:schemeClr w14:val="tx1"/>
            </w14:solidFill>
          </w14:textFill>
        </w:rPr>
      </w:pPr>
      <w:r>
        <w:rPr>
          <w:rFonts w:hint="eastAsia" w:ascii="仿宋_GB2312" w:hAnsi="仿宋" w:eastAsia="仿宋_GB2312" w:cs="E-BX"/>
          <w:color w:val="000000" w:themeColor="text1"/>
          <w:kern w:val="0"/>
          <w:sz w:val="32"/>
          <w:szCs w:val="32"/>
          <w14:textFill>
            <w14:solidFill>
              <w14:schemeClr w14:val="tx1"/>
            </w14:solidFill>
          </w14:textFill>
        </w:rPr>
        <w:t>组织管理方面，</w:t>
      </w:r>
      <w:r>
        <w:rPr>
          <w:rFonts w:ascii="仿宋_GB2312" w:hAnsi="仿宋" w:eastAsia="仿宋_GB2312" w:cs="E-BX"/>
          <w:color w:val="000000" w:themeColor="text1"/>
          <w:kern w:val="0"/>
          <w:sz w:val="32"/>
          <w:szCs w:val="32"/>
          <w14:textFill>
            <w14:solidFill>
              <w14:schemeClr w14:val="tx1"/>
            </w14:solidFill>
          </w14:textFill>
        </w:rPr>
        <w:t>建立科学规范可行的</w:t>
      </w:r>
      <w:r>
        <w:rPr>
          <w:rFonts w:hint="eastAsia" w:ascii="仿宋_GB2312" w:hAnsi="仿宋" w:eastAsia="仿宋_GB2312" w:cs="E-BX"/>
          <w:color w:val="000000" w:themeColor="text1"/>
          <w:kern w:val="0"/>
          <w:sz w:val="32"/>
          <w:szCs w:val="32"/>
          <w14:textFill>
            <w14:solidFill>
              <w14:schemeClr w14:val="tx1"/>
            </w14:solidFill>
          </w14:textFill>
        </w:rPr>
        <w:t>“数字政府”统筹建设</w:t>
      </w:r>
      <w:r>
        <w:rPr>
          <w:rFonts w:ascii="仿宋_GB2312" w:hAnsi="仿宋" w:eastAsia="仿宋_GB2312" w:cs="E-BX"/>
          <w:color w:val="000000" w:themeColor="text1"/>
          <w:kern w:val="0"/>
          <w:sz w:val="32"/>
          <w:szCs w:val="32"/>
          <w14:textFill>
            <w14:solidFill>
              <w14:schemeClr w14:val="tx1"/>
            </w14:solidFill>
          </w14:textFill>
        </w:rPr>
        <w:t>机制和信息化项目管理</w:t>
      </w:r>
      <w:r>
        <w:rPr>
          <w:rFonts w:hint="eastAsia" w:ascii="仿宋_GB2312" w:hAnsi="仿宋" w:eastAsia="仿宋_GB2312" w:cs="E-BX"/>
          <w:color w:val="000000" w:themeColor="text1"/>
          <w:kern w:val="0"/>
          <w:sz w:val="32"/>
          <w:szCs w:val="32"/>
          <w14:textFill>
            <w14:solidFill>
              <w14:schemeClr w14:val="tx1"/>
            </w14:solidFill>
          </w14:textFill>
        </w:rPr>
        <w:t>制度</w:t>
      </w:r>
      <w:r>
        <w:rPr>
          <w:rFonts w:ascii="仿宋_GB2312" w:hAnsi="仿宋" w:eastAsia="仿宋_GB2312" w:cs="E-BX"/>
          <w:color w:val="000000" w:themeColor="text1"/>
          <w:kern w:val="0"/>
          <w:sz w:val="32"/>
          <w:szCs w:val="32"/>
          <w14:textFill>
            <w14:solidFill>
              <w14:schemeClr w14:val="tx1"/>
            </w14:solidFill>
          </w14:textFill>
        </w:rPr>
        <w:t>，</w:t>
      </w:r>
      <w:r>
        <w:rPr>
          <w:rFonts w:hint="eastAsia" w:ascii="仿宋_GB2312" w:hAnsi="仿宋" w:eastAsia="仿宋_GB2312" w:cs="E-BX"/>
          <w:color w:val="000000" w:themeColor="text1"/>
          <w:kern w:val="0"/>
          <w:sz w:val="32"/>
          <w:szCs w:val="32"/>
          <w14:textFill>
            <w14:solidFill>
              <w14:schemeClr w14:val="tx1"/>
            </w14:solidFill>
          </w14:textFill>
        </w:rPr>
        <w:t>建成</w:t>
      </w:r>
      <w:r>
        <w:rPr>
          <w:rFonts w:ascii="仿宋_GB2312" w:hAnsi="仿宋" w:eastAsia="仿宋_GB2312" w:cs="E-BX"/>
          <w:color w:val="000000" w:themeColor="text1"/>
          <w:kern w:val="0"/>
          <w:sz w:val="32"/>
          <w:szCs w:val="32"/>
          <w14:textFill>
            <w14:solidFill>
              <w14:schemeClr w14:val="tx1"/>
            </w14:solidFill>
          </w14:textFill>
        </w:rPr>
        <w:t>跨部门</w:t>
      </w:r>
      <w:r>
        <w:rPr>
          <w:rFonts w:hint="eastAsia" w:ascii="仿宋_GB2312" w:hAnsi="仿宋" w:eastAsia="仿宋_GB2312" w:cs="E-BX"/>
          <w:color w:val="000000" w:themeColor="text1"/>
          <w:kern w:val="0"/>
          <w:sz w:val="32"/>
          <w:szCs w:val="32"/>
          <w14:textFill>
            <w14:solidFill>
              <w14:schemeClr w14:val="tx1"/>
            </w14:solidFill>
          </w14:textFill>
        </w:rPr>
        <w:t>协调</w:t>
      </w:r>
      <w:r>
        <w:rPr>
          <w:rFonts w:ascii="仿宋_GB2312" w:hAnsi="仿宋" w:eastAsia="仿宋_GB2312" w:cs="E-BX"/>
          <w:color w:val="000000" w:themeColor="text1"/>
          <w:kern w:val="0"/>
          <w:sz w:val="32"/>
          <w:szCs w:val="32"/>
          <w14:textFill>
            <w14:solidFill>
              <w14:schemeClr w14:val="tx1"/>
            </w14:solidFill>
          </w14:textFill>
        </w:rPr>
        <w:t>机制，</w:t>
      </w:r>
      <w:r>
        <w:rPr>
          <w:rFonts w:hint="eastAsia" w:ascii="仿宋_GB2312" w:hAnsi="仿宋" w:eastAsia="仿宋_GB2312" w:cs="E-BX"/>
          <w:color w:val="000000" w:themeColor="text1"/>
          <w:kern w:val="0"/>
          <w:sz w:val="32"/>
          <w:szCs w:val="32"/>
          <w14:textFill>
            <w14:solidFill>
              <w14:schemeClr w14:val="tx1"/>
            </w14:solidFill>
          </w14:textFill>
        </w:rPr>
        <w:t>完善“数字政府”</w:t>
      </w:r>
      <w:r>
        <w:rPr>
          <w:rFonts w:ascii="仿宋_GB2312" w:hAnsi="仿宋" w:eastAsia="仿宋_GB2312" w:cs="E-BX"/>
          <w:color w:val="000000" w:themeColor="text1"/>
          <w:kern w:val="0"/>
          <w:sz w:val="32"/>
          <w:szCs w:val="32"/>
          <w14:textFill>
            <w14:solidFill>
              <w14:schemeClr w14:val="tx1"/>
            </w14:solidFill>
          </w14:textFill>
        </w:rPr>
        <w:t>运营管理模式</w:t>
      </w:r>
      <w:r>
        <w:rPr>
          <w:rFonts w:hint="eastAsia" w:ascii="仿宋_GB2312" w:hAnsi="仿宋" w:eastAsia="仿宋_GB2312" w:cs="E-BX"/>
          <w:color w:val="000000" w:themeColor="text1"/>
          <w:kern w:val="0"/>
          <w:sz w:val="32"/>
          <w:szCs w:val="32"/>
          <w14:textFill>
            <w14:solidFill>
              <w14:schemeClr w14:val="tx1"/>
            </w14:solidFill>
          </w14:textFill>
        </w:rPr>
        <w:t>和绩效考核指标，</w:t>
      </w:r>
      <w:r>
        <w:rPr>
          <w:rFonts w:ascii="仿宋_GB2312" w:hAnsi="仿宋" w:eastAsia="仿宋_GB2312" w:cs="E-BX"/>
          <w:color w:val="000000" w:themeColor="text1"/>
          <w:kern w:val="0"/>
          <w:sz w:val="32"/>
          <w:szCs w:val="32"/>
          <w14:textFill>
            <w14:solidFill>
              <w14:schemeClr w14:val="tx1"/>
            </w14:solidFill>
          </w14:textFill>
        </w:rPr>
        <w:t>强化标准体系建设和引领。</w:t>
      </w:r>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14:textFill>
            <w14:solidFill>
              <w14:schemeClr w14:val="tx1"/>
            </w14:solidFill>
          </w14:textFill>
        </w:rPr>
      </w:pPr>
      <w:r>
        <w:rPr>
          <w:rFonts w:hint="eastAsia" w:ascii="仿宋_GB2312" w:hAnsi="仿宋" w:eastAsia="仿宋_GB2312" w:cs="E-BX"/>
          <w:color w:val="000000" w:themeColor="text1"/>
          <w:kern w:val="0"/>
          <w:sz w:val="32"/>
          <w:szCs w:val="32"/>
          <w14:textFill>
            <w14:solidFill>
              <w14:schemeClr w14:val="tx1"/>
            </w14:solidFill>
          </w14:textFill>
        </w:rPr>
        <w:t>基础设施方面，建设补强城区感知和视频监控体系，改造升级政务外网，引导5</w:t>
      </w:r>
      <w:r>
        <w:rPr>
          <w:rFonts w:ascii="仿宋_GB2312" w:hAnsi="仿宋" w:eastAsia="仿宋_GB2312" w:cs="E-BX"/>
          <w:color w:val="000000" w:themeColor="text1"/>
          <w:kern w:val="0"/>
          <w:sz w:val="32"/>
          <w:szCs w:val="32"/>
          <w14:textFill>
            <w14:solidFill>
              <w14:schemeClr w14:val="tx1"/>
            </w14:solidFill>
          </w14:textFill>
        </w:rPr>
        <w:t>G</w:t>
      </w:r>
      <w:r>
        <w:rPr>
          <w:rFonts w:hint="eastAsia" w:ascii="仿宋_GB2312" w:hAnsi="仿宋" w:eastAsia="仿宋_GB2312" w:cs="E-BX"/>
          <w:color w:val="000000" w:themeColor="text1"/>
          <w:kern w:val="0"/>
          <w:sz w:val="32"/>
          <w:szCs w:val="32"/>
          <w14:textFill>
            <w14:solidFill>
              <w14:schemeClr w14:val="tx1"/>
            </w14:solidFill>
          </w14:textFill>
        </w:rPr>
        <w:t>网络在主干道、中央商务区、产业园区和港口等重点区域覆盖，完善光纤宽带的通信网络基础设施。</w:t>
      </w:r>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14:textFill>
            <w14:solidFill>
              <w14:schemeClr w14:val="tx1"/>
            </w14:solidFill>
          </w14:textFill>
        </w:rPr>
      </w:pPr>
      <w:r>
        <w:rPr>
          <w:rFonts w:hint="eastAsia" w:ascii="仿宋_GB2312" w:hAnsi="仿宋" w:eastAsia="仿宋_GB2312" w:cs="E-BX"/>
          <w:color w:val="000000" w:themeColor="text1"/>
          <w:kern w:val="0"/>
          <w:sz w:val="32"/>
          <w:szCs w:val="32"/>
          <w14:textFill>
            <w14:solidFill>
              <w14:schemeClr w14:val="tx1"/>
            </w14:solidFill>
          </w14:textFill>
        </w:rPr>
        <w:t>数智大脑方面，开展政务数据专项治理工作，配合省市级完善数据资源库，着力推进政务大数据共享和数字决策分析应用，一体化数据资源体系初步形成。优先搭建物联网管理平台和视频信息管理平台。</w:t>
      </w:r>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14:textFill>
            <w14:solidFill>
              <w14:schemeClr w14:val="tx1"/>
            </w14:solidFill>
          </w14:textFill>
        </w:rPr>
      </w:pPr>
      <w:r>
        <w:rPr>
          <w:rFonts w:hint="eastAsia" w:ascii="仿宋_GB2312" w:hAnsi="仿宋" w:eastAsia="仿宋_GB2312" w:cs="E-BX"/>
          <w:color w:val="000000" w:themeColor="text1"/>
          <w:kern w:val="0"/>
          <w:sz w:val="32"/>
          <w:szCs w:val="32"/>
          <w14:textFill>
            <w14:solidFill>
              <w14:schemeClr w14:val="tx1"/>
            </w14:solidFill>
          </w14:textFill>
        </w:rPr>
        <w:t>数字应用方面，初步建立“乐享政服”服务模式，构建区、街道（镇、园区）、村（社区）多级服务体系，搭建惠企服务平台，提供</w:t>
      </w:r>
      <w:r>
        <w:rPr>
          <w:rFonts w:hint="eastAsia" w:ascii="仿宋_GB2312" w:hAnsi="仿宋" w:eastAsia="仿宋_GB2312" w:cs="E-BX"/>
          <w:color w:val="000000" w:themeColor="text1"/>
          <w:sz w:val="32"/>
          <w:szCs w:val="32"/>
          <w14:textFill>
            <w14:solidFill>
              <w14:schemeClr w14:val="tx1"/>
            </w14:solidFill>
          </w14:textFill>
        </w:rPr>
        <w:t>涉企政策“一站式”兑现服务</w:t>
      </w:r>
      <w:r>
        <w:rPr>
          <w:rFonts w:hint="eastAsia" w:ascii="仿宋_GB2312" w:hAnsi="仿宋" w:eastAsia="仿宋_GB2312" w:cs="E-BX"/>
          <w:color w:val="000000" w:themeColor="text1"/>
          <w:kern w:val="0"/>
          <w:sz w:val="32"/>
          <w:szCs w:val="32"/>
          <w14:textFill>
            <w14:solidFill>
              <w14:schemeClr w14:val="tx1"/>
            </w14:solidFill>
          </w14:textFill>
        </w:rPr>
        <w:t>，提升企业的满意度和获得感。试点智慧园区综合服务平台建设。</w:t>
      </w:r>
    </w:p>
    <w:p>
      <w:pPr>
        <w:pStyle w:val="4"/>
        <w:keepNext w:val="0"/>
        <w:keepLines w:val="0"/>
        <w:spacing w:before="0" w:after="0" w:line="560" w:lineRule="exact"/>
        <w:ind w:left="567"/>
        <w:rPr>
          <w:rFonts w:ascii="仿宋_GB2312" w:hAnsi="楷体" w:eastAsia="仿宋_GB2312"/>
          <w:color w:val="000000" w:themeColor="text1"/>
          <w14:textFill>
            <w14:solidFill>
              <w14:schemeClr w14:val="tx1"/>
            </w14:solidFill>
          </w14:textFill>
        </w:rPr>
      </w:pPr>
      <w:bookmarkStart w:id="228" w:name="_Toc58916845"/>
      <w:bookmarkStart w:id="229" w:name="_Toc57929318"/>
      <w:bookmarkStart w:id="230" w:name="_Toc67470123"/>
      <w:bookmarkStart w:id="231" w:name="_Toc75790492"/>
      <w:bookmarkStart w:id="232" w:name="_Toc59121351"/>
      <w:bookmarkStart w:id="233" w:name="_Toc64866072"/>
      <w:bookmarkStart w:id="234" w:name="_Toc58569947"/>
      <w:bookmarkStart w:id="235" w:name="_Toc63751403"/>
      <w:bookmarkStart w:id="236" w:name="_Toc57017162"/>
      <w:bookmarkStart w:id="237" w:name="_Toc64863210"/>
      <w:bookmarkStart w:id="238" w:name="_Toc64873707"/>
      <w:bookmarkStart w:id="239" w:name="_Toc57015438"/>
      <w:bookmarkStart w:id="240" w:name="_Toc56903776"/>
      <w:bookmarkStart w:id="241" w:name="_Toc72936836"/>
      <w:bookmarkStart w:id="242" w:name="_Toc58933679"/>
      <w:bookmarkStart w:id="243" w:name="_Toc57015331"/>
      <w:bookmarkStart w:id="244" w:name="_Toc63302991"/>
      <w:bookmarkStart w:id="245" w:name="_Toc57598691"/>
      <w:bookmarkStart w:id="246" w:name="_Toc68615344"/>
      <w:r>
        <w:rPr>
          <w:rFonts w:hint="eastAsia" w:ascii="仿宋_GB2312" w:hAnsi="楷体" w:eastAsia="仿宋_GB2312"/>
          <w:color w:val="000000" w:themeColor="text1"/>
          <w14:textFill>
            <w14:solidFill>
              <w14:schemeClr w14:val="tx1"/>
            </w14:solidFill>
          </w14:textFill>
        </w:rPr>
        <w:t>2</w:t>
      </w:r>
      <w:r>
        <w:rPr>
          <w:rFonts w:ascii="仿宋_GB2312" w:hAnsi="楷体" w:eastAsia="仿宋_GB2312"/>
          <w:color w:val="000000" w:themeColor="text1"/>
          <w14:textFill>
            <w14:solidFill>
              <w14:schemeClr w14:val="tx1"/>
            </w14:solidFill>
          </w14:textFill>
        </w:rPr>
        <w:t>.</w:t>
      </w:r>
      <w:r>
        <w:rPr>
          <w:rFonts w:hint="eastAsia" w:ascii="仿宋_GB2312" w:hAnsi="楷体" w:eastAsia="仿宋_GB2312"/>
          <w:color w:val="000000" w:themeColor="text1"/>
          <w14:textFill>
            <w14:solidFill>
              <w14:schemeClr w14:val="tx1"/>
            </w14:solidFill>
          </w14:textFill>
        </w:rPr>
        <w:t>整合提升阶段（202</w:t>
      </w:r>
      <w:r>
        <w:rPr>
          <w:rFonts w:ascii="仿宋_GB2312" w:hAnsi="楷体" w:eastAsia="仿宋_GB2312"/>
          <w:color w:val="000000" w:themeColor="text1"/>
          <w14:textFill>
            <w14:solidFill>
              <w14:schemeClr w14:val="tx1"/>
            </w14:solidFill>
          </w14:textFill>
        </w:rPr>
        <w:t>3</w:t>
      </w:r>
      <w:r>
        <w:rPr>
          <w:rFonts w:hint="eastAsia" w:ascii="仿宋_GB2312" w:hAnsi="楷体" w:eastAsia="仿宋_GB2312"/>
          <w:color w:val="000000" w:themeColor="text1"/>
          <w14:textFill>
            <w14:solidFill>
              <w14:schemeClr w14:val="tx1"/>
            </w14:solidFill>
          </w14:textFill>
        </w:rPr>
        <w:t>-202</w:t>
      </w:r>
      <w:r>
        <w:rPr>
          <w:rFonts w:ascii="仿宋_GB2312" w:hAnsi="楷体" w:eastAsia="仿宋_GB2312"/>
          <w:color w:val="000000" w:themeColor="text1"/>
          <w14:textFill>
            <w14:solidFill>
              <w14:schemeClr w14:val="tx1"/>
            </w14:solidFill>
          </w14:textFill>
        </w:rPr>
        <w:t>4</w:t>
      </w:r>
      <w:r>
        <w:rPr>
          <w:rFonts w:hint="eastAsia" w:ascii="仿宋_GB2312" w:hAnsi="楷体" w:eastAsia="仿宋_GB2312"/>
          <w:color w:val="000000" w:themeColor="text1"/>
          <w14:textFill>
            <w14:solidFill>
              <w14:schemeClr w14:val="tx1"/>
            </w14:solidFill>
          </w14:textFill>
        </w:rPr>
        <w:t>年底）</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14:textFill>
            <w14:solidFill>
              <w14:schemeClr w14:val="tx1"/>
            </w14:solidFill>
          </w14:textFill>
        </w:rPr>
      </w:pPr>
      <w:r>
        <w:rPr>
          <w:rFonts w:hint="eastAsia" w:ascii="仿宋_GB2312" w:hAnsi="仿宋" w:eastAsia="仿宋_GB2312" w:cs="E-BX"/>
          <w:color w:val="000000" w:themeColor="text1"/>
          <w:kern w:val="0"/>
          <w:sz w:val="32"/>
          <w:szCs w:val="32"/>
          <w14:textFill>
            <w14:solidFill>
              <w14:schemeClr w14:val="tx1"/>
            </w14:solidFill>
          </w14:textFill>
        </w:rPr>
        <w:t>基础设施方面，全面部署智能化和立体化的物联感知体系。</w:t>
      </w:r>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14:textFill>
            <w14:solidFill>
              <w14:schemeClr w14:val="tx1"/>
            </w14:solidFill>
          </w14:textFill>
        </w:rPr>
      </w:pPr>
      <w:r>
        <w:rPr>
          <w:rFonts w:hint="eastAsia" w:ascii="仿宋_GB2312" w:hAnsi="仿宋" w:eastAsia="仿宋_GB2312" w:cs="E-BX"/>
          <w:color w:val="000000" w:themeColor="text1"/>
          <w:kern w:val="0"/>
          <w:sz w:val="32"/>
          <w:szCs w:val="32"/>
          <w14:textFill>
            <w14:solidFill>
              <w14:schemeClr w14:val="tx1"/>
            </w14:solidFill>
          </w14:textFill>
        </w:rPr>
        <w:t>数智大脑方面，经开区综合运行管理中心基本建成，实现各系统接入和大数据聚集沉淀，城区整体运行的数字映射可实时呈现，切实提升城市智慧化、精细化管理决策能力，提升服务群众、政府运转、应急联动等效能，实现特色场景集中化展示，从特色、应用等方面形成示范效应，为“城市大脑”的建设与应用提供经开区样板。</w:t>
      </w:r>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14:textFill>
            <w14:solidFill>
              <w14:schemeClr w14:val="tx1"/>
            </w14:solidFill>
          </w14:textFill>
        </w:rPr>
      </w:pPr>
      <w:r>
        <w:rPr>
          <w:rFonts w:hint="eastAsia" w:ascii="仿宋_GB2312" w:hAnsi="仿宋" w:eastAsia="仿宋_GB2312" w:cs="E-BX"/>
          <w:color w:val="000000" w:themeColor="text1"/>
          <w:kern w:val="0"/>
          <w:sz w:val="32"/>
          <w:szCs w:val="32"/>
          <w14:textFill>
            <w14:solidFill>
              <w14:schemeClr w14:val="tx1"/>
            </w14:solidFill>
          </w14:textFill>
        </w:rPr>
        <w:t>数字应用方面，进一步完善“乐享政服”政务服务体系，拓宽“智能秒批”服务事项范围，加快重点企业高频办理事项梳理，探索企业开办全环节、全链条智能化审批，提供企业办事“秒批”服务。逐步完善惠企服务平台，满足</w:t>
      </w:r>
      <w:r>
        <w:rPr>
          <w:rFonts w:hint="eastAsia" w:ascii="仿宋_GB2312" w:hAnsi="仿宋" w:eastAsia="仿宋_GB2312" w:cs="E-BX"/>
          <w:color w:val="000000" w:themeColor="text1"/>
          <w:sz w:val="32"/>
          <w:szCs w:val="32"/>
          <w14:textFill>
            <w14:solidFill>
              <w14:schemeClr w14:val="tx1"/>
            </w14:solidFill>
          </w14:textFill>
        </w:rPr>
        <w:t>企业全生命周期发展过程的创业创新、投融资等服务。</w:t>
      </w:r>
      <w:r>
        <w:rPr>
          <w:rFonts w:hint="eastAsia" w:ascii="仿宋_GB2312" w:hAnsi="仿宋" w:eastAsia="仿宋_GB2312" w:cs="E-BX"/>
          <w:color w:val="000000" w:themeColor="text1"/>
          <w:kern w:val="0"/>
          <w:sz w:val="32"/>
          <w:szCs w:val="32"/>
          <w14:textFill>
            <w14:solidFill>
              <w14:schemeClr w14:val="tx1"/>
            </w14:solidFill>
          </w14:textFill>
        </w:rPr>
        <w:t>启动智慧农业建设。利用信息化手段，推进建成区优秀的医疗、教育资源向东海岛共享，提升产业园区周边配套公共服务能力。</w:t>
      </w:r>
    </w:p>
    <w:p>
      <w:pPr>
        <w:pStyle w:val="4"/>
        <w:keepNext w:val="0"/>
        <w:keepLines w:val="0"/>
        <w:spacing w:before="0" w:after="0" w:line="560" w:lineRule="exact"/>
        <w:ind w:left="567"/>
        <w:rPr>
          <w:rFonts w:ascii="仿宋_GB2312" w:hAnsi="楷体" w:eastAsia="仿宋_GB2312"/>
          <w:b w:val="0"/>
          <w:bCs w:val="0"/>
          <w:color w:val="000000" w:themeColor="text1"/>
          <w14:textFill>
            <w14:solidFill>
              <w14:schemeClr w14:val="tx1"/>
            </w14:solidFill>
          </w14:textFill>
        </w:rPr>
      </w:pPr>
      <w:bookmarkStart w:id="247" w:name="_Toc57017163"/>
      <w:bookmarkStart w:id="248" w:name="_Toc64863211"/>
      <w:bookmarkStart w:id="249" w:name="_Toc57015439"/>
      <w:bookmarkStart w:id="250" w:name="_Toc59121352"/>
      <w:bookmarkStart w:id="251" w:name="_Toc56903777"/>
      <w:bookmarkStart w:id="252" w:name="_Toc57015332"/>
      <w:bookmarkStart w:id="253" w:name="_Toc58933680"/>
      <w:bookmarkStart w:id="254" w:name="_Toc57929319"/>
      <w:bookmarkStart w:id="255" w:name="_Toc58569948"/>
      <w:bookmarkStart w:id="256" w:name="_Toc75790493"/>
      <w:bookmarkStart w:id="257" w:name="_Toc64866073"/>
      <w:bookmarkStart w:id="258" w:name="_Toc57598692"/>
      <w:bookmarkStart w:id="259" w:name="_Toc63302992"/>
      <w:bookmarkStart w:id="260" w:name="_Toc63751404"/>
      <w:bookmarkStart w:id="261" w:name="_Toc58916846"/>
      <w:bookmarkStart w:id="262" w:name="_Toc72936837"/>
      <w:bookmarkStart w:id="263" w:name="_Toc64873708"/>
      <w:bookmarkStart w:id="264" w:name="_Toc67470124"/>
      <w:bookmarkStart w:id="265" w:name="_Toc68615345"/>
      <w:r>
        <w:rPr>
          <w:rFonts w:hint="eastAsia" w:ascii="仿宋_GB2312" w:hAnsi="楷体" w:eastAsia="仿宋_GB2312"/>
          <w:color w:val="000000" w:themeColor="text1"/>
          <w14:textFill>
            <w14:solidFill>
              <w14:schemeClr w14:val="tx1"/>
            </w14:solidFill>
          </w14:textFill>
        </w:rPr>
        <w:t>3</w:t>
      </w:r>
      <w:r>
        <w:rPr>
          <w:rFonts w:ascii="仿宋_GB2312" w:hAnsi="楷体" w:eastAsia="仿宋_GB2312"/>
          <w:color w:val="000000" w:themeColor="text1"/>
          <w14:textFill>
            <w14:solidFill>
              <w14:schemeClr w14:val="tx1"/>
            </w14:solidFill>
          </w14:textFill>
        </w:rPr>
        <w:t>.</w:t>
      </w:r>
      <w:r>
        <w:rPr>
          <w:rFonts w:hint="eastAsia" w:ascii="仿宋_GB2312" w:hAnsi="楷体" w:eastAsia="仿宋_GB2312"/>
          <w:color w:val="000000" w:themeColor="text1"/>
          <w14:textFill>
            <w14:solidFill>
              <w14:schemeClr w14:val="tx1"/>
            </w14:solidFill>
          </w14:textFill>
        </w:rPr>
        <w:t>优化融合阶段（202</w:t>
      </w:r>
      <w:r>
        <w:rPr>
          <w:rFonts w:ascii="仿宋_GB2312" w:hAnsi="楷体" w:eastAsia="仿宋_GB2312"/>
          <w:color w:val="000000" w:themeColor="text1"/>
          <w14:textFill>
            <w14:solidFill>
              <w14:schemeClr w14:val="tx1"/>
            </w14:solidFill>
          </w14:textFill>
        </w:rPr>
        <w:t>5</w:t>
      </w:r>
      <w:r>
        <w:rPr>
          <w:rFonts w:hint="eastAsia" w:ascii="仿宋_GB2312" w:hAnsi="楷体" w:eastAsia="仿宋_GB2312"/>
          <w:color w:val="000000" w:themeColor="text1"/>
          <w14:textFill>
            <w14:solidFill>
              <w14:schemeClr w14:val="tx1"/>
            </w14:solidFill>
          </w14:textFill>
        </w:rPr>
        <w:t>年底）</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pPr>
        <w:autoSpaceDE w:val="0"/>
        <w:autoSpaceDN w:val="0"/>
        <w:adjustRightInd w:val="0"/>
        <w:spacing w:line="560" w:lineRule="exact"/>
        <w:ind w:firstLine="640" w:firstLineChars="200"/>
        <w:rPr>
          <w:rFonts w:ascii="仿宋_GB2312" w:hAnsi="仿宋" w:eastAsia="仿宋_GB2312" w:cs="E-BX"/>
          <w:b/>
          <w:bCs/>
          <w:color w:val="000000" w:themeColor="text1"/>
          <w:kern w:val="0"/>
          <w14:textFill>
            <w14:solidFill>
              <w14:schemeClr w14:val="tx1"/>
            </w14:solidFill>
          </w14:textFill>
        </w:rPr>
      </w:pPr>
      <w:r>
        <w:rPr>
          <w:rFonts w:hint="eastAsia" w:ascii="仿宋_GB2312" w:hAnsi="仿宋" w:eastAsia="仿宋_GB2312" w:cs="E-BX"/>
          <w:color w:val="000000" w:themeColor="text1"/>
          <w:kern w:val="0"/>
          <w:sz w:val="32"/>
          <w:szCs w:val="32"/>
          <w14:textFill>
            <w14:solidFill>
              <w14:schemeClr w14:val="tx1"/>
            </w14:solidFill>
          </w14:textFill>
        </w:rPr>
        <w:t>在第一、二阶段的基础上，数字政府建设框架体系搭建完成，政府履职全面数字化，大数据成为处理复杂治理问题的有效手段，用数据说话、用数据决策、用数据管理、用数据创新的机制较为健全。数智大脑方面，建立完善的运营、管理、迭代机制，创新推进场景应用的体系化建设，基于大数据、A</w:t>
      </w:r>
      <w:r>
        <w:rPr>
          <w:rFonts w:ascii="仿宋_GB2312" w:hAnsi="仿宋" w:eastAsia="仿宋_GB2312" w:cs="E-BX"/>
          <w:color w:val="000000" w:themeColor="text1"/>
          <w:kern w:val="0"/>
          <w:sz w:val="32"/>
          <w:szCs w:val="32"/>
          <w14:textFill>
            <w14:solidFill>
              <w14:schemeClr w14:val="tx1"/>
            </w14:solidFill>
          </w14:textFill>
        </w:rPr>
        <w:t>I</w:t>
      </w:r>
      <w:r>
        <w:rPr>
          <w:rFonts w:hint="eastAsia" w:ascii="仿宋_GB2312" w:hAnsi="仿宋" w:eastAsia="仿宋_GB2312" w:cs="E-BX"/>
          <w:color w:val="000000" w:themeColor="text1"/>
          <w:kern w:val="0"/>
          <w:sz w:val="32"/>
          <w:szCs w:val="32"/>
          <w14:textFill>
            <w14:solidFill>
              <w14:schemeClr w14:val="tx1"/>
            </w14:solidFill>
          </w14:textFill>
        </w:rPr>
        <w:t>、区块链等技术深度应用，实现经开区数智大脑智能化运行。数字应用在政务服务、产业发展、民生保障、城区治理各领域实现广泛覆盖，</w:t>
      </w:r>
      <w:r>
        <w:rPr>
          <w:rFonts w:ascii="仿宋_GB2312" w:hAnsi="仿宋" w:eastAsia="仿宋_GB2312" w:cs="E-BX"/>
          <w:color w:val="000000" w:themeColor="text1"/>
          <w:kern w:val="0"/>
          <w:sz w:val="32"/>
          <w:szCs w:val="32"/>
          <w14:textFill>
            <w14:solidFill>
              <w14:schemeClr w14:val="tx1"/>
            </w14:solidFill>
          </w14:textFill>
        </w:rPr>
        <w:t>推进治理体系与治理能力现代化。</w:t>
      </w:r>
    </w:p>
    <w:p>
      <w:pPr>
        <w:pStyle w:val="2"/>
        <w:keepNext/>
        <w:keepLines/>
        <w:widowControl w:val="0"/>
        <w:spacing w:before="0" w:beforeAutospacing="0" w:after="0" w:afterAutospacing="0" w:line="579" w:lineRule="exact"/>
        <w:ind w:firstLine="640" w:firstLineChars="200"/>
        <w:jc w:val="both"/>
        <w:rPr>
          <w:rFonts w:ascii="Times New Roman" w:hAnsi="黑体" w:eastAsia="黑体" w:cs="Times New Roman"/>
          <w:b w:val="0"/>
          <w:color w:val="000000" w:themeColor="text1"/>
          <w:kern w:val="44"/>
          <w:sz w:val="32"/>
          <w:szCs w:val="32"/>
          <w:lang w:val="zh-CN"/>
          <w14:textFill>
            <w14:solidFill>
              <w14:schemeClr w14:val="tx1"/>
            </w14:solidFill>
          </w14:textFill>
        </w:rPr>
      </w:pPr>
      <w:bookmarkStart w:id="266" w:name="_Toc75790494"/>
      <w:r>
        <w:rPr>
          <w:rFonts w:hint="eastAsia" w:ascii="Times New Roman" w:hAnsi="黑体" w:eastAsia="黑体" w:cs="Times New Roman"/>
          <w:b w:val="0"/>
          <w:color w:val="000000" w:themeColor="text1"/>
          <w:kern w:val="44"/>
          <w:sz w:val="32"/>
          <w:szCs w:val="32"/>
          <w:lang w:val="zh-CN"/>
          <w14:textFill>
            <w14:solidFill>
              <w14:schemeClr w14:val="tx1"/>
            </w14:solidFill>
          </w14:textFill>
        </w:rPr>
        <w:t>三、经开区数字政府建设架构</w:t>
      </w:r>
      <w:bookmarkEnd w:id="266"/>
    </w:p>
    <w:p>
      <w:pPr>
        <w:widowControl/>
        <w:spacing w:line="560" w:lineRule="exact"/>
        <w:ind w:firstLine="640" w:firstLineChars="200"/>
        <w:jc w:val="left"/>
        <w:outlineLvl w:val="1"/>
        <w:rPr>
          <w:rFonts w:ascii="楷体_GB2312" w:hAnsi="黑体" w:eastAsia="楷体_GB2312" w:cs="仿宋_GB2312"/>
          <w:color w:val="000000" w:themeColor="text1"/>
          <w:kern w:val="0"/>
          <w:sz w:val="32"/>
          <w:szCs w:val="32"/>
          <w14:textFill>
            <w14:solidFill>
              <w14:schemeClr w14:val="tx1"/>
            </w14:solidFill>
          </w14:textFill>
        </w:rPr>
      </w:pPr>
      <w:bookmarkStart w:id="267" w:name="_Toc75790495"/>
      <w:r>
        <w:rPr>
          <w:rFonts w:hint="eastAsia" w:ascii="楷体_GB2312" w:hAnsi="黑体" w:eastAsia="楷体_GB2312" w:cs="仿宋_GB2312"/>
          <w:color w:val="000000" w:themeColor="text1"/>
          <w:kern w:val="0"/>
          <w:sz w:val="32"/>
          <w:szCs w:val="32"/>
          <w14:textFill>
            <w14:solidFill>
              <w14:schemeClr w14:val="tx1"/>
            </w14:solidFill>
          </w14:textFill>
        </w:rPr>
        <w:t>（一）总体架构</w:t>
      </w:r>
      <w:bookmarkEnd w:id="267"/>
    </w:p>
    <w:p>
      <w:pPr>
        <w:autoSpaceDE w:val="0"/>
        <w:autoSpaceDN w:val="0"/>
        <w:adjustRightIn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围绕“数智经开”建设目标，在充分利用现有信息化发展成果的基础上，以统一的基础设施为支撑，以大数据整合利用为核心，以数字应用为主体，以可持续机制建设为保障，构建开放协作新格局，激发发展潜力与活力，通过“融合创新”促进“智慧发展”。湛江经开区“数字政府”建设的总体架构概括为“1</w:t>
      </w:r>
      <w:r>
        <w:rPr>
          <w:rFonts w:ascii="仿宋_GB2312" w:hAnsi="仿宋_GB2312" w:eastAsia="仿宋_GB2312" w:cs="仿宋_GB2312"/>
          <w:color w:val="000000" w:themeColor="text1"/>
          <w:sz w:val="32"/>
          <w:szCs w:val="32"/>
          <w14:textFill>
            <w14:solidFill>
              <w14:schemeClr w14:val="tx1"/>
            </w14:solidFill>
          </w14:textFill>
        </w:rPr>
        <w:t>143</w:t>
      </w:r>
      <w:r>
        <w:rPr>
          <w:rFonts w:hint="eastAsia" w:ascii="仿宋_GB2312" w:hAnsi="仿宋_GB2312" w:eastAsia="仿宋_GB2312" w:cs="仿宋_GB2312"/>
          <w:color w:val="000000" w:themeColor="text1"/>
          <w:sz w:val="32"/>
          <w:szCs w:val="32"/>
          <w14:textFill>
            <w14:solidFill>
              <w14:schemeClr w14:val="tx1"/>
            </w14:solidFill>
          </w14:textFill>
        </w:rPr>
        <w:t>”，即“1”个基础设施、“</w:t>
      </w:r>
      <w:r>
        <w:rPr>
          <w:rFonts w:ascii="仿宋_GB2312" w:hAnsi="仿宋_GB2312"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”个数智大脑、“4”大领域特色应用和“</w:t>
      </w:r>
      <w:r>
        <w:rPr>
          <w:rFonts w:ascii="仿宋_GB2312" w:hAnsi="仿宋_GB2312" w:eastAsia="仿宋_GB2312" w:cs="仿宋_GB2312"/>
          <w:color w:val="000000" w:themeColor="text1"/>
          <w:sz w:val="32"/>
          <w:szCs w:val="32"/>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”大支撑体系。</w:t>
      </w:r>
    </w:p>
    <w:p>
      <w:pPr>
        <w:rPr>
          <w:rFonts w:ascii="仿宋_GB2312" w:hAnsi="仿宋" w:eastAsia="仿宋_GB2312" w:cs="E-BX"/>
          <w:color w:val="000000" w:themeColor="text1"/>
          <w:kern w:val="0"/>
          <w:sz w:val="32"/>
          <w:szCs w:val="32"/>
          <w14:textFill>
            <w14:solidFill>
              <w14:schemeClr w14:val="tx1"/>
            </w14:solidFill>
          </w14:textFill>
        </w:rPr>
      </w:pPr>
      <w:r>
        <w:drawing>
          <wp:inline distT="0" distB="0" distL="0" distR="0">
            <wp:extent cx="5194300" cy="4168775"/>
            <wp:effectExtent l="0" t="0" r="6350" b="3175"/>
            <wp:docPr id="7" name="图片 7"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10;&#10;描述已自动生成"/>
                    <pic:cNvPicPr>
                      <a:picLocks noChangeAspect="1"/>
                    </pic:cNvPicPr>
                  </pic:nvPicPr>
                  <pic:blipFill>
                    <a:blip r:embed="rId7"/>
                    <a:stretch>
                      <a:fillRect/>
                    </a:stretch>
                  </pic:blipFill>
                  <pic:spPr>
                    <a:xfrm>
                      <a:off x="0" y="0"/>
                      <a:ext cx="5194300" cy="4168775"/>
                    </a:xfrm>
                    <a:prstGeom prst="rect">
                      <a:avLst/>
                    </a:prstGeom>
                  </pic:spPr>
                </pic:pic>
              </a:graphicData>
            </a:graphic>
          </wp:inline>
        </w:drawing>
      </w:r>
    </w:p>
    <w:p>
      <w:pPr>
        <w:spacing w:line="560" w:lineRule="exact"/>
        <w:jc w:val="center"/>
        <w:rPr>
          <w:rFonts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kern w:val="0"/>
          <w:sz w:val="28"/>
          <w:szCs w:val="28"/>
          <w14:textFill>
            <w14:solidFill>
              <w14:schemeClr w14:val="tx1"/>
            </w14:solidFill>
          </w14:textFill>
        </w:rPr>
        <w:t>图1 湛江经开区“数字政府”总体架构图</w:t>
      </w:r>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“1”个基础设施</w:t>
      </w:r>
      <w:r>
        <w:rPr>
          <w:rFonts w:hint="eastAsia" w:ascii="仿宋_GB2312" w:hAnsi="仿宋" w:eastAsia="仿宋_GB2312" w:cs="E-BX"/>
          <w:color w:val="000000" w:themeColor="text1"/>
          <w:kern w:val="0"/>
          <w:sz w:val="32"/>
          <w:szCs w:val="32"/>
          <w14:textFill>
            <w14:solidFill>
              <w14:schemeClr w14:val="tx1"/>
            </w14:solidFill>
          </w14:textFill>
        </w:rPr>
        <w:t>即数字政府的基础设施。依托湛江市政务云平台建设，统一提供云计算、云存储、云管理、云安全等云服务，支撑我区政务信息化部署。统筹建设物联感知、基础网络等信息化基础设施，全面构建集约化的“数字政府”基础设施体系，为“数字政府”的运行提供统一、安全、高效、稳定的“数智”能力。</w:t>
      </w:r>
    </w:p>
    <w:p>
      <w:pPr>
        <w:spacing w:line="560" w:lineRule="exact"/>
        <w:ind w:firstLine="640" w:firstLineChars="200"/>
        <w:rPr>
          <w:rFonts w:ascii="仿宋_GB2312" w:hAnsi="仿宋" w:eastAsia="仿宋_GB2312" w:cs="E-BX"/>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w:t>
      </w:r>
      <w:r>
        <w:rPr>
          <w:rFonts w:ascii="仿宋_GB2312" w:hAnsi="仿宋_GB2312"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”个数智大脑</w:t>
      </w:r>
      <w:r>
        <w:rPr>
          <w:rFonts w:hint="eastAsia" w:ascii="仿宋_GB2312" w:hAnsi="仿宋" w:eastAsia="仿宋_GB2312" w:cs="E-BX"/>
          <w:color w:val="000000" w:themeColor="text1"/>
          <w:kern w:val="0"/>
          <w:sz w:val="32"/>
          <w:szCs w:val="32"/>
          <w14:textFill>
            <w14:solidFill>
              <w14:schemeClr w14:val="tx1"/>
            </w14:solidFill>
          </w14:textFill>
        </w:rPr>
        <w:t>由经开区综合运行管理中心、数据资源体系和公共支撑平台组成，是经开区政府的“数智”中枢。通过建设我区智慧城市综合理运行管理平台，与省级</w:t>
      </w:r>
      <w:r>
        <w:rPr>
          <w:rFonts w:hint="eastAsia" w:ascii="Times New Roman" w:hAnsi="Times New Roman" w:eastAsia="仿宋_GB2312" w:cs="Times New Roman"/>
          <w:color w:val="000000" w:themeColor="text1"/>
          <w:sz w:val="32"/>
          <w:szCs w:val="32"/>
          <w14:textFill>
            <w14:solidFill>
              <w14:schemeClr w14:val="tx1"/>
            </w14:solidFill>
          </w14:textFill>
        </w:rPr>
        <w:t>数字政府决策和指挥中枢（</w:t>
      </w:r>
      <w:r>
        <w:rPr>
          <w:rFonts w:ascii="Times New Roman" w:hAnsi="Times New Roman" w:eastAsia="仿宋_GB2312" w:cs="Times New Roman"/>
          <w:color w:val="000000" w:themeColor="text1"/>
          <w:sz w:val="32"/>
          <w:szCs w:val="32"/>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14:textFill>
            <w14:solidFill>
              <w14:schemeClr w14:val="tx1"/>
            </w14:solidFill>
          </w14:textFill>
        </w:rPr>
        <w:t>粤智汇”）和</w:t>
      </w:r>
      <w:r>
        <w:rPr>
          <w:rFonts w:hint="eastAsia" w:ascii="仿宋_GB2312" w:hAnsi="仿宋" w:eastAsia="仿宋_GB2312" w:cs="E-BX"/>
          <w:color w:val="000000" w:themeColor="text1"/>
          <w:kern w:val="0"/>
          <w:sz w:val="32"/>
          <w:szCs w:val="32"/>
          <w14:textFill>
            <w14:solidFill>
              <w14:schemeClr w14:val="tx1"/>
            </w14:solidFill>
          </w14:textFill>
        </w:rPr>
        <w:t>市级智慧城市运行管理平台，</w:t>
      </w:r>
      <w:r>
        <w:rPr>
          <w:rFonts w:hint="eastAsia" w:ascii="Times New Roman" w:hAnsi="Times New Roman" w:eastAsia="仿宋_GB2312" w:cs="Times New Roman"/>
          <w:color w:val="000000" w:themeColor="text1"/>
          <w:sz w:val="32"/>
          <w:szCs w:val="32"/>
          <w14:textFill>
            <w14:solidFill>
              <w14:schemeClr w14:val="tx1"/>
            </w14:solidFill>
          </w14:textFill>
        </w:rPr>
        <w:t>实现</w:t>
      </w:r>
      <w:r>
        <w:rPr>
          <w:rFonts w:hint="eastAsia" w:ascii="仿宋_GB2312" w:hAnsi="仿宋" w:eastAsia="仿宋_GB2312" w:cs="E-BX"/>
          <w:color w:val="000000" w:themeColor="text1"/>
          <w:kern w:val="0"/>
          <w:sz w:val="32"/>
          <w:szCs w:val="32"/>
          <w14:textFill>
            <w14:solidFill>
              <w14:schemeClr w14:val="tx1"/>
            </w14:solidFill>
          </w14:textFill>
        </w:rPr>
        <w:t>三级平台联动。</w:t>
      </w:r>
      <w:r>
        <w:rPr>
          <w:rFonts w:hint="eastAsia" w:ascii="Times New Roman" w:hAnsi="Times New Roman" w:eastAsia="仿宋_GB2312" w:cs="Times New Roman"/>
          <w:color w:val="000000" w:themeColor="text1"/>
          <w:sz w:val="32"/>
          <w:szCs w:val="32"/>
          <w14:textFill>
            <w14:solidFill>
              <w14:schemeClr w14:val="tx1"/>
            </w14:solidFill>
          </w14:textFill>
        </w:rPr>
        <w:t>基于省市一体化大数据中心，搭</w:t>
      </w:r>
      <w:r>
        <w:rPr>
          <w:rFonts w:hint="eastAsia" w:ascii="仿宋_GB2312" w:hAnsi="仿宋" w:eastAsia="仿宋_GB2312" w:cs="E-BX"/>
          <w:color w:val="000000" w:themeColor="text1"/>
          <w:kern w:val="0"/>
          <w:sz w:val="32"/>
          <w:szCs w:val="32"/>
          <w14:textFill>
            <w14:solidFill>
              <w14:schemeClr w14:val="tx1"/>
            </w14:solidFill>
          </w14:textFill>
        </w:rPr>
        <w:t>建经开区数据资源体系，为我区数字政府提供数据资源管理与服务。利用省、市统一建设的公共支撑平台的服务能力，支撑我区数字应用协同开发和快速部署。</w:t>
      </w:r>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14:textFill>
            <w14:solidFill>
              <w14:schemeClr w14:val="tx1"/>
            </w14:solidFill>
          </w14:textFill>
        </w:rPr>
      </w:pPr>
      <w:r>
        <w:rPr>
          <w:rFonts w:hint="eastAsia" w:ascii="仿宋_GB2312" w:hAnsi="仿宋" w:eastAsia="仿宋_GB2312" w:cs="E-BX"/>
          <w:color w:val="000000" w:themeColor="text1"/>
          <w:kern w:val="0"/>
          <w:sz w:val="32"/>
          <w:szCs w:val="32"/>
          <w14:textFill>
            <w14:solidFill>
              <w14:schemeClr w14:val="tx1"/>
            </w14:solidFill>
          </w14:textFill>
        </w:rPr>
        <w:t>“</w:t>
      </w:r>
      <w:r>
        <w:rPr>
          <w:rFonts w:ascii="仿宋_GB2312" w:hAnsi="仿宋" w:eastAsia="仿宋_GB2312" w:cs="E-BX"/>
          <w:color w:val="000000" w:themeColor="text1"/>
          <w:kern w:val="0"/>
          <w:sz w:val="32"/>
          <w:szCs w:val="32"/>
          <w14:textFill>
            <w14:solidFill>
              <w14:schemeClr w14:val="tx1"/>
            </w14:solidFill>
          </w14:textFill>
        </w:rPr>
        <w:t>4”大领域特色应用</w:t>
      </w:r>
      <w:r>
        <w:rPr>
          <w:rFonts w:hint="eastAsia" w:ascii="仿宋_GB2312" w:hAnsi="仿宋" w:eastAsia="仿宋_GB2312" w:cs="E-BX"/>
          <w:color w:val="000000" w:themeColor="text1"/>
          <w:kern w:val="0"/>
          <w:sz w:val="32"/>
          <w:szCs w:val="32"/>
          <w14:textFill>
            <w14:solidFill>
              <w14:schemeClr w14:val="tx1"/>
            </w14:solidFill>
          </w14:textFill>
        </w:rPr>
        <w:t>包括政务服务、产业发展、民生保障和城区治理等四大领域的业务应用。以经开区数智大脑为中心，市级政务大数据中心和政务云平台为基础，统筹、整合各专业应用系统和数据，加快实施各领域内的亮点和重点工程，从而有效推动各领域行业的发展。</w:t>
      </w:r>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14:textFill>
            <w14:solidFill>
              <w14:schemeClr w14:val="tx1"/>
            </w14:solidFill>
          </w14:textFill>
        </w:rPr>
      </w:pPr>
      <w:r>
        <w:rPr>
          <w:rFonts w:hint="eastAsia" w:ascii="仿宋_GB2312" w:hAnsi="仿宋" w:eastAsia="仿宋_GB2312" w:cs="E-BX"/>
          <w:color w:val="000000" w:themeColor="text1"/>
          <w:kern w:val="0"/>
          <w:sz w:val="32"/>
          <w:szCs w:val="32"/>
          <w14:textFill>
            <w14:solidFill>
              <w14:schemeClr w14:val="tx1"/>
            </w14:solidFill>
          </w14:textFill>
        </w:rPr>
        <w:t>“</w:t>
      </w:r>
      <w:r>
        <w:rPr>
          <w:rFonts w:ascii="仿宋_GB2312" w:hAnsi="仿宋" w:eastAsia="仿宋_GB2312" w:cs="E-BX"/>
          <w:color w:val="000000" w:themeColor="text1"/>
          <w:kern w:val="0"/>
          <w:sz w:val="32"/>
          <w:szCs w:val="32"/>
          <w14:textFill>
            <w14:solidFill>
              <w14:schemeClr w14:val="tx1"/>
            </w14:solidFill>
          </w14:textFill>
        </w:rPr>
        <w:t>3</w:t>
      </w:r>
      <w:r>
        <w:rPr>
          <w:rFonts w:hint="eastAsia" w:ascii="仿宋_GB2312" w:hAnsi="仿宋" w:eastAsia="仿宋_GB2312" w:cs="E-BX"/>
          <w:color w:val="000000" w:themeColor="text1"/>
          <w:kern w:val="0"/>
          <w:sz w:val="32"/>
          <w:szCs w:val="32"/>
          <w14:textFill>
            <w14:solidFill>
              <w14:schemeClr w14:val="tx1"/>
            </w14:solidFill>
          </w14:textFill>
        </w:rPr>
        <w:t>”大支撑体系包括信息安全体系、标准体系和运行管理体系，是保障数字政府的安全稳定运行和健康持续发展的长效机制。信息安全体系确保“数字政府”的业务安全、数据安全和运行安全。标准体系遵循国家和我省要求的标准，实现“数字政府”建设与发展的标准化、规范化、体系化。运营管理体系为“数字政府”的正常运行提供制度支持。</w:t>
      </w:r>
    </w:p>
    <w:p>
      <w:pPr>
        <w:widowControl/>
        <w:spacing w:line="560" w:lineRule="exact"/>
        <w:ind w:firstLine="640" w:firstLineChars="200"/>
        <w:jc w:val="left"/>
        <w:outlineLvl w:val="1"/>
        <w:rPr>
          <w:rFonts w:ascii="楷体_GB2312" w:hAnsi="黑体" w:eastAsia="楷体_GB2312" w:cs="仿宋_GB2312"/>
          <w:color w:val="000000" w:themeColor="text1"/>
          <w:kern w:val="0"/>
          <w:sz w:val="32"/>
          <w:szCs w:val="32"/>
          <w14:textFill>
            <w14:solidFill>
              <w14:schemeClr w14:val="tx1"/>
            </w14:solidFill>
          </w14:textFill>
        </w:rPr>
      </w:pPr>
      <w:bookmarkStart w:id="268" w:name="_Toc75790496"/>
      <w:r>
        <w:rPr>
          <w:rFonts w:hint="eastAsia" w:ascii="楷体_GB2312" w:hAnsi="黑体" w:eastAsia="楷体_GB2312" w:cs="仿宋_GB2312"/>
          <w:color w:val="000000" w:themeColor="text1"/>
          <w:kern w:val="0"/>
          <w:sz w:val="32"/>
          <w:szCs w:val="32"/>
          <w14:textFill>
            <w14:solidFill>
              <w14:schemeClr w14:val="tx1"/>
            </w14:solidFill>
          </w14:textFill>
        </w:rPr>
        <w:t>（二）管理架构</w:t>
      </w:r>
      <w:bookmarkEnd w:id="268"/>
    </w:p>
    <w:p>
      <w:pPr>
        <w:autoSpaceDE w:val="0"/>
        <w:autoSpaceDN w:val="0"/>
        <w:adjustRightInd w:val="0"/>
        <w:spacing w:line="560" w:lineRule="exact"/>
        <w:ind w:firstLine="640" w:firstLineChars="200"/>
        <w:rPr>
          <w:color w:val="000000" w:themeColor="text1"/>
          <w14:textFill>
            <w14:solidFill>
              <w14:schemeClr w14:val="tx1"/>
            </w14:solidFill>
          </w14:textFill>
        </w:rPr>
      </w:pPr>
      <w:r>
        <w:rPr>
          <w:rFonts w:hint="eastAsia" w:ascii="仿宋_GB2312" w:hAnsi="仿宋" w:eastAsia="仿宋_GB2312" w:cs="E-BX"/>
          <w:color w:val="000000" w:themeColor="text1"/>
          <w:kern w:val="0"/>
          <w:sz w:val="32"/>
          <w:szCs w:val="32"/>
          <w14:textFill>
            <w14:solidFill>
              <w14:schemeClr w14:val="tx1"/>
            </w14:solidFill>
          </w14:textFill>
        </w:rPr>
        <w:t>我区按照全省、市一盘棋的改革建设总体部署要求，遵循“管运分离”的总体原则，在管理体制、运行机制、建设运维模式等方面进行探索创新，在省、市“数字政府”改革建设组织管理体系框架下，</w:t>
      </w:r>
      <w:r>
        <w:rPr>
          <w:rFonts w:hint="eastAsia" w:ascii="仿宋_GB2312" w:hAnsi="仿宋_GB2312" w:eastAsia="仿宋_GB2312" w:cs="仿宋_GB2312"/>
          <w:color w:val="000000" w:themeColor="text1"/>
          <w:sz w:val="32"/>
          <w:szCs w:val="32"/>
          <w14:textFill>
            <w14:solidFill>
              <w14:schemeClr w14:val="tx1"/>
            </w14:solidFill>
          </w14:textFill>
        </w:rPr>
        <w:t>构建“统一领导、上下衔接、运作高效、整体推进”的全区</w:t>
      </w:r>
      <w:r>
        <w:rPr>
          <w:rFonts w:hint="eastAsia" w:ascii="仿宋_GB2312" w:hAnsi="仿宋" w:eastAsia="仿宋_GB2312" w:cs="E-BX"/>
          <w:color w:val="000000" w:themeColor="text1"/>
          <w:kern w:val="0"/>
          <w:sz w:val="32"/>
          <w:szCs w:val="32"/>
          <w14:textFill>
            <w14:solidFill>
              <w14:schemeClr w14:val="tx1"/>
            </w14:solidFill>
          </w14:textFill>
        </w:rPr>
        <w:t>“数字政府”组织管理体系，实现政府内部运作与对外服务一体化、线上线下深度融合，促进我区“数字政府”改革建设发展。</w:t>
      </w:r>
    </w:p>
    <w:p>
      <w:pPr>
        <w:ind w:left="-567" w:leftChars="-270"/>
        <w:rPr>
          <w:color w:val="000000" w:themeColor="text1"/>
          <w:highlight w:val="yellow"/>
          <w14:textFill>
            <w14:solidFill>
              <w14:schemeClr w14:val="tx1"/>
            </w14:solidFill>
          </w14:textFill>
        </w:rPr>
      </w:pPr>
      <w:r>
        <w:drawing>
          <wp:inline distT="0" distB="0" distL="0" distR="0">
            <wp:extent cx="6052185" cy="3771900"/>
            <wp:effectExtent l="0" t="0" r="5715" b="0"/>
            <wp:docPr id="1"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10;&#10;描述已自动生成"/>
                    <pic:cNvPicPr>
                      <a:picLocks noChangeAspect="1"/>
                    </pic:cNvPicPr>
                  </pic:nvPicPr>
                  <pic:blipFill>
                    <a:blip r:embed="rId8"/>
                    <a:stretch>
                      <a:fillRect/>
                    </a:stretch>
                  </pic:blipFill>
                  <pic:spPr>
                    <a:xfrm>
                      <a:off x="0" y="0"/>
                      <a:ext cx="6057430" cy="3775156"/>
                    </a:xfrm>
                    <a:prstGeom prst="rect">
                      <a:avLst/>
                    </a:prstGeom>
                  </pic:spPr>
                </pic:pic>
              </a:graphicData>
            </a:graphic>
          </wp:inline>
        </w:drawing>
      </w:r>
    </w:p>
    <w:p>
      <w:pPr>
        <w:spacing w:line="560" w:lineRule="exact"/>
        <w:jc w:val="center"/>
        <w:rPr>
          <w:rFonts w:hint="eastAsia" w:ascii="黑体" w:hAnsi="黑体" w:eastAsia="黑体" w:cs="黑体"/>
          <w:color w:val="000000" w:themeColor="text1"/>
          <w:kern w:val="0"/>
          <w:sz w:val="28"/>
          <w:szCs w:val="28"/>
          <w14:textFill>
            <w14:solidFill>
              <w14:schemeClr w14:val="tx1"/>
            </w14:solidFill>
          </w14:textFill>
        </w:rPr>
      </w:pPr>
      <w:r>
        <w:rPr>
          <w:rFonts w:hint="eastAsia" w:ascii="黑体" w:hAnsi="黑体" w:eastAsia="黑体" w:cs="黑体"/>
          <w:color w:val="000000" w:themeColor="text1"/>
          <w:kern w:val="0"/>
          <w:sz w:val="28"/>
          <w:szCs w:val="28"/>
          <w14:textFill>
            <w14:solidFill>
              <w14:schemeClr w14:val="tx1"/>
            </w14:solidFill>
          </w14:textFill>
        </w:rPr>
        <w:t>图2经开区“数字政府”管理架构图</w:t>
      </w:r>
    </w:p>
    <w:p>
      <w:pPr>
        <w:pStyle w:val="4"/>
        <w:keepNext w:val="0"/>
        <w:keepLines w:val="0"/>
        <w:spacing w:before="0" w:after="0" w:line="560" w:lineRule="exact"/>
        <w:ind w:left="567"/>
        <w:rPr>
          <w:rFonts w:hint="eastAsia" w:ascii="仿宋_GB2312" w:hAnsi="楷体" w:eastAsia="仿宋_GB2312"/>
          <w:color w:val="000000" w:themeColor="text1"/>
          <w14:textFill>
            <w14:solidFill>
              <w14:schemeClr w14:val="tx1"/>
            </w14:solidFill>
          </w14:textFill>
        </w:rPr>
      </w:pPr>
      <w:bookmarkStart w:id="269" w:name="_Toc57598695"/>
      <w:bookmarkStart w:id="270" w:name="_Toc64863215"/>
      <w:bookmarkStart w:id="271" w:name="_Toc56410730"/>
      <w:bookmarkStart w:id="272" w:name="_Toc57015335"/>
      <w:bookmarkStart w:id="273" w:name="_Toc63302996"/>
      <w:bookmarkStart w:id="274" w:name="_Toc58916849"/>
      <w:bookmarkStart w:id="275" w:name="_Toc67470128"/>
      <w:bookmarkStart w:id="276" w:name="_Toc58933684"/>
      <w:bookmarkStart w:id="277" w:name="_Toc64866077"/>
      <w:bookmarkStart w:id="278" w:name="_Toc72936841"/>
      <w:bookmarkStart w:id="279" w:name="_Toc56903780"/>
      <w:bookmarkStart w:id="280" w:name="_Toc63751408"/>
      <w:bookmarkStart w:id="281" w:name="_Toc68615349"/>
      <w:bookmarkStart w:id="282" w:name="_Toc58569951"/>
      <w:bookmarkStart w:id="283" w:name="_Toc57017166"/>
      <w:bookmarkStart w:id="284" w:name="_Toc64873712"/>
      <w:bookmarkStart w:id="285" w:name="_Toc57929322"/>
      <w:bookmarkStart w:id="286" w:name="_Toc59121356"/>
      <w:bookmarkStart w:id="287" w:name="_Toc57015442"/>
      <w:bookmarkStart w:id="288" w:name="_Toc75790497"/>
      <w:r>
        <w:rPr>
          <w:rFonts w:hint="eastAsia" w:ascii="仿宋_GB2312" w:hAnsi="楷体" w:eastAsia="仿宋_GB2312"/>
          <w:color w:val="000000" w:themeColor="text1"/>
          <w14:textFill>
            <w14:solidFill>
              <w14:schemeClr w14:val="tx1"/>
            </w14:solidFill>
          </w14:textFill>
        </w:rPr>
        <w:t>1.</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r>
        <w:rPr>
          <w:rFonts w:hint="eastAsia" w:ascii="仿宋_GB2312" w:hAnsi="楷体" w:eastAsia="仿宋_GB2312"/>
          <w:color w:val="000000" w:themeColor="text1"/>
          <w14:textFill>
            <w14:solidFill>
              <w14:schemeClr w14:val="tx1"/>
            </w14:solidFill>
          </w14:textFill>
        </w:rPr>
        <w:t>统一领导</w:t>
      </w:r>
      <w:bookmarkEnd w:id="288"/>
    </w:p>
    <w:p>
      <w:pPr>
        <w:autoSpaceDE w:val="0"/>
        <w:autoSpaceDN w:val="0"/>
        <w:adjustRightInd w:val="0"/>
        <w:spacing w:line="560" w:lineRule="exact"/>
        <w:ind w:firstLine="640" w:firstLineChars="200"/>
        <w:rPr>
          <w:rFonts w:hint="eastAsia" w:ascii="仿宋_GB2312" w:hAnsi="仿宋" w:eastAsia="仿宋_GB2312" w:cs="E-BX"/>
          <w:color w:val="000000" w:themeColor="text1"/>
          <w:kern w:val="0"/>
          <w:sz w:val="32"/>
          <w:szCs w:val="32"/>
          <w14:textFill>
            <w14:solidFill>
              <w14:schemeClr w14:val="tx1"/>
            </w14:solidFill>
          </w14:textFill>
        </w:rPr>
      </w:pPr>
      <w:r>
        <w:rPr>
          <w:rFonts w:hint="eastAsia" w:ascii="仿宋_GB2312" w:hAnsi="仿宋" w:eastAsia="仿宋_GB2312" w:cs="E-BX"/>
          <w:color w:val="000000" w:themeColor="text1"/>
          <w:kern w:val="0"/>
          <w:sz w:val="32"/>
          <w:szCs w:val="32"/>
          <w14:textFill>
            <w14:solidFill>
              <w14:schemeClr w14:val="tx1"/>
            </w14:solidFill>
          </w14:textFill>
        </w:rPr>
        <w:t>在区党委、区管委的领导下，构建“一把手”组织管理体系，设立经开区“数字政府”改革建设工作领导小组和首席数据官（以下简称CDO），加强“数字政府”建设的宏观指导、统筹管理、跨部门协调和统一部署的力度，对“数字政府”建设工作中的重大事项进行决策，协调解决相关重大问题。</w:t>
      </w:r>
    </w:p>
    <w:p>
      <w:pPr>
        <w:pStyle w:val="4"/>
        <w:keepNext w:val="0"/>
        <w:keepLines w:val="0"/>
        <w:spacing w:before="0" w:after="0" w:line="560" w:lineRule="exact"/>
        <w:ind w:left="567"/>
        <w:rPr>
          <w:rFonts w:hint="eastAsia" w:ascii="仿宋_GB2312" w:hAnsi="楷体" w:eastAsia="仿宋_GB2312"/>
          <w:color w:val="000000" w:themeColor="text1"/>
          <w14:textFill>
            <w14:solidFill>
              <w14:schemeClr w14:val="tx1"/>
            </w14:solidFill>
          </w14:textFill>
        </w:rPr>
      </w:pPr>
      <w:bookmarkStart w:id="289" w:name="_Toc75790498"/>
      <w:r>
        <w:rPr>
          <w:rFonts w:hint="eastAsia" w:ascii="仿宋_GB2312" w:hAnsi="楷体" w:eastAsia="仿宋_GB2312"/>
          <w:color w:val="000000" w:themeColor="text1"/>
          <w14:textFill>
            <w14:solidFill>
              <w14:schemeClr w14:val="tx1"/>
            </w14:solidFill>
          </w14:textFill>
        </w:rPr>
        <w:t>2.分级管理</w:t>
      </w:r>
      <w:bookmarkEnd w:id="289"/>
    </w:p>
    <w:p>
      <w:pPr>
        <w:autoSpaceDE w:val="0"/>
        <w:autoSpaceDN w:val="0"/>
        <w:adjustRightInd w:val="0"/>
        <w:spacing w:line="560" w:lineRule="exact"/>
        <w:ind w:firstLine="640" w:firstLineChars="200"/>
        <w:rPr>
          <w:rFonts w:hint="eastAsia" w:ascii="仿宋_GB2312" w:hAnsi="仿宋" w:eastAsia="仿宋_GB2312" w:cs="E-BX"/>
          <w:color w:val="000000" w:themeColor="text1"/>
          <w:kern w:val="0"/>
          <w:sz w:val="32"/>
          <w:szCs w:val="32"/>
          <w14:textFill>
            <w14:solidFill>
              <w14:schemeClr w14:val="tx1"/>
            </w14:solidFill>
          </w14:textFill>
        </w:rPr>
      </w:pPr>
      <w:r>
        <w:rPr>
          <w:rFonts w:hint="eastAsia" w:ascii="仿宋_GB2312" w:hAnsi="仿宋" w:eastAsia="仿宋_GB2312" w:cs="E-BX"/>
          <w:color w:val="000000" w:themeColor="text1"/>
          <w:kern w:val="0"/>
          <w:sz w:val="32"/>
          <w:szCs w:val="32"/>
          <w14:textFill>
            <w14:solidFill>
              <w14:schemeClr w14:val="tx1"/>
            </w14:solidFill>
          </w14:textFill>
        </w:rPr>
        <w:t>经开区政务服务数据管理部门作为经开区“数字政府”改革建设工作领导小组办公室，统筹管理“数字政府”建设的具体工作。区政务服务数据管理部门向上接受市政务服务数据管理局业务指导，向下指导街道（镇）、村（居）开展政务服务和数据管理相关工作，形成上下统一、职责明确的管理机制。</w:t>
      </w:r>
    </w:p>
    <w:p>
      <w:pPr>
        <w:autoSpaceDE w:val="0"/>
        <w:autoSpaceDN w:val="0"/>
        <w:adjustRightInd w:val="0"/>
        <w:spacing w:line="560" w:lineRule="exact"/>
        <w:ind w:firstLine="640" w:firstLineChars="200"/>
        <w:rPr>
          <w:rFonts w:hint="eastAsia" w:ascii="仿宋_GB2312" w:hAnsi="仿宋" w:eastAsia="仿宋_GB2312" w:cs="E-BX"/>
          <w:color w:val="000000" w:themeColor="text1"/>
          <w:kern w:val="0"/>
          <w:sz w:val="32"/>
          <w:szCs w:val="32"/>
          <w14:textFill>
            <w14:solidFill>
              <w14:schemeClr w14:val="tx1"/>
            </w14:solidFill>
          </w14:textFill>
        </w:rPr>
      </w:pPr>
      <w:r>
        <w:rPr>
          <w:rFonts w:hint="eastAsia" w:ascii="仿宋_GB2312" w:hAnsi="仿宋" w:eastAsia="仿宋_GB2312" w:cs="E-BX"/>
          <w:color w:val="000000" w:themeColor="text1"/>
          <w:kern w:val="0"/>
          <w:sz w:val="32"/>
          <w:szCs w:val="32"/>
          <w14:textFill>
            <w14:solidFill>
              <w14:schemeClr w14:val="tx1"/>
            </w14:solidFill>
          </w14:textFill>
        </w:rPr>
        <w:t>区级职能部门按照“数字政府”管理体制设立本部门CDO，在经开区政务服务数据管理部门的统筹下，参与“数字政府”建设，克服“等”、“靠”的思维，主动作为承担部门业务系统、特色应用开发、数据治理、网络安全等建设任务。</w:t>
      </w:r>
    </w:p>
    <w:p>
      <w:pPr>
        <w:autoSpaceDE w:val="0"/>
        <w:autoSpaceDN w:val="0"/>
        <w:adjustRightInd w:val="0"/>
        <w:spacing w:line="560" w:lineRule="exact"/>
        <w:ind w:firstLine="640" w:firstLineChars="200"/>
        <w:rPr>
          <w:rFonts w:hint="eastAsia" w:ascii="仿宋_GB2312" w:hAnsi="仿宋" w:eastAsia="仿宋_GB2312" w:cs="E-BX"/>
          <w:color w:val="000000" w:themeColor="text1"/>
          <w:kern w:val="0"/>
          <w:sz w:val="32"/>
          <w:szCs w:val="32"/>
          <w14:textFill>
            <w14:solidFill>
              <w14:schemeClr w14:val="tx1"/>
            </w14:solidFill>
          </w14:textFill>
        </w:rPr>
      </w:pPr>
      <w:r>
        <w:rPr>
          <w:rFonts w:hint="eastAsia" w:ascii="仿宋_GB2312" w:hAnsi="仿宋" w:eastAsia="仿宋_GB2312" w:cs="E-BX"/>
          <w:color w:val="000000" w:themeColor="text1"/>
          <w:kern w:val="0"/>
          <w:sz w:val="32"/>
          <w:szCs w:val="32"/>
          <w14:textFill>
            <w14:solidFill>
              <w14:schemeClr w14:val="tx1"/>
            </w14:solidFill>
          </w14:textFill>
        </w:rPr>
        <w:t>各街道（镇）成立相应的领导机构，明确工作职责，统一领导本级数字政府建设，强化镇街级、村（社区）级政务服务机构的管理，合理规划政务服务事项，推进政务服务向“最后一公里”延伸。</w:t>
      </w:r>
    </w:p>
    <w:p>
      <w:pPr>
        <w:pStyle w:val="4"/>
        <w:keepNext w:val="0"/>
        <w:keepLines w:val="0"/>
        <w:spacing w:before="0" w:after="0" w:line="560" w:lineRule="exact"/>
        <w:ind w:left="567"/>
        <w:rPr>
          <w:rFonts w:hint="eastAsia" w:ascii="仿宋_GB2312" w:hAnsi="楷体" w:eastAsia="仿宋_GB2312"/>
          <w:color w:val="000000" w:themeColor="text1"/>
          <w14:textFill>
            <w14:solidFill>
              <w14:schemeClr w14:val="tx1"/>
            </w14:solidFill>
          </w14:textFill>
        </w:rPr>
      </w:pPr>
      <w:bookmarkStart w:id="290" w:name="_Toc75790499"/>
      <w:r>
        <w:rPr>
          <w:rFonts w:hint="eastAsia" w:ascii="仿宋_GB2312" w:hAnsi="楷体" w:eastAsia="仿宋_GB2312"/>
          <w:color w:val="000000" w:themeColor="text1"/>
          <w14:textFill>
            <w14:solidFill>
              <w14:schemeClr w14:val="tx1"/>
            </w14:solidFill>
          </w14:textFill>
        </w:rPr>
        <w:t>3.智库支撑</w:t>
      </w:r>
      <w:bookmarkEnd w:id="290"/>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14:textFill>
            <w14:solidFill>
              <w14:schemeClr w14:val="tx1"/>
            </w14:solidFill>
          </w14:textFill>
        </w:rPr>
      </w:pPr>
      <w:r>
        <w:rPr>
          <w:rFonts w:hint="eastAsia" w:ascii="仿宋_GB2312" w:hAnsi="仿宋" w:eastAsia="仿宋_GB2312" w:cs="E-BX"/>
          <w:color w:val="000000" w:themeColor="text1"/>
          <w:kern w:val="0"/>
          <w:sz w:val="32"/>
          <w:szCs w:val="32"/>
          <w14:textFill>
            <w14:solidFill>
              <w14:schemeClr w14:val="tx1"/>
            </w14:solidFill>
          </w14:textFill>
        </w:rPr>
        <w:t>利用好市级专家委员会</w:t>
      </w:r>
      <w:r>
        <w:rPr>
          <w:rFonts w:ascii="仿宋_GB2312" w:hAnsi="仿宋" w:eastAsia="仿宋_GB2312" w:cs="E-BX"/>
          <w:color w:val="000000" w:themeColor="text1"/>
          <w:kern w:val="0"/>
          <w:sz w:val="32"/>
          <w:szCs w:val="32"/>
          <w14:textFill>
            <w14:solidFill>
              <w14:schemeClr w14:val="tx1"/>
            </w14:solidFill>
          </w14:textFill>
        </w:rPr>
        <w:t>、非盈利第三方研究机构、科研院所、专业咨询企业等在内的专家智库体系，为</w:t>
      </w:r>
      <w:r>
        <w:rPr>
          <w:rFonts w:hint="eastAsia" w:ascii="仿宋_GB2312" w:hAnsi="仿宋" w:eastAsia="仿宋_GB2312" w:cs="E-BX"/>
          <w:color w:val="000000" w:themeColor="text1"/>
          <w:kern w:val="0"/>
          <w:sz w:val="32"/>
          <w:szCs w:val="32"/>
          <w14:textFill>
            <w14:solidFill>
              <w14:schemeClr w14:val="tx1"/>
            </w14:solidFill>
          </w14:textFill>
        </w:rPr>
        <w:t>经开区“数字政府”建设提供持续的咨询服务和</w:t>
      </w:r>
      <w:r>
        <w:rPr>
          <w:rFonts w:ascii="仿宋_GB2312" w:hAnsi="仿宋" w:eastAsia="仿宋_GB2312" w:cs="E-BX"/>
          <w:color w:val="000000" w:themeColor="text1"/>
          <w:kern w:val="0"/>
          <w:sz w:val="32"/>
          <w:szCs w:val="32"/>
          <w14:textFill>
            <w14:solidFill>
              <w14:schemeClr w14:val="tx1"/>
            </w14:solidFill>
          </w14:textFill>
        </w:rPr>
        <w:t>智力支撑</w:t>
      </w:r>
      <w:r>
        <w:rPr>
          <w:rFonts w:hint="eastAsia" w:ascii="仿宋_GB2312" w:hAnsi="仿宋" w:eastAsia="仿宋_GB2312" w:cs="E-BX"/>
          <w:color w:val="000000" w:themeColor="text1"/>
          <w:kern w:val="0"/>
          <w:sz w:val="32"/>
          <w:szCs w:val="32"/>
          <w14:textFill>
            <w14:solidFill>
              <w14:schemeClr w14:val="tx1"/>
            </w14:solidFill>
          </w14:textFill>
        </w:rPr>
        <w:t>。</w:t>
      </w:r>
    </w:p>
    <w:p>
      <w:pPr>
        <w:pStyle w:val="4"/>
        <w:keepNext w:val="0"/>
        <w:keepLines w:val="0"/>
        <w:spacing w:before="0" w:after="0" w:line="560" w:lineRule="exact"/>
        <w:ind w:left="567"/>
        <w:rPr>
          <w:rFonts w:ascii="仿宋_GB2312" w:hAnsi="楷体" w:eastAsia="仿宋_GB2312"/>
          <w:color w:val="000000" w:themeColor="text1"/>
          <w14:textFill>
            <w14:solidFill>
              <w14:schemeClr w14:val="tx1"/>
            </w14:solidFill>
          </w14:textFill>
        </w:rPr>
      </w:pPr>
      <w:bookmarkStart w:id="291" w:name="_Toc57929323"/>
      <w:bookmarkStart w:id="292" w:name="_Toc57015443"/>
      <w:bookmarkStart w:id="293" w:name="_Toc56410731"/>
      <w:bookmarkStart w:id="294" w:name="_Toc64873713"/>
      <w:bookmarkStart w:id="295" w:name="_Toc67470129"/>
      <w:bookmarkStart w:id="296" w:name="_Toc72936842"/>
      <w:bookmarkStart w:id="297" w:name="_Toc75790501"/>
      <w:bookmarkStart w:id="298" w:name="_Toc64863216"/>
      <w:bookmarkStart w:id="299" w:name="_Toc64866078"/>
      <w:bookmarkStart w:id="300" w:name="_Toc63751409"/>
      <w:bookmarkStart w:id="301" w:name="_Toc68615350"/>
      <w:bookmarkStart w:id="302" w:name="_Toc56903781"/>
      <w:bookmarkStart w:id="303" w:name="_Toc57015336"/>
      <w:bookmarkStart w:id="304" w:name="_Toc63302997"/>
      <w:bookmarkStart w:id="305" w:name="_Toc59121357"/>
      <w:bookmarkStart w:id="306" w:name="_Toc58916850"/>
      <w:bookmarkStart w:id="307" w:name="_Toc58569952"/>
      <w:bookmarkStart w:id="308" w:name="_Toc57017167"/>
      <w:bookmarkStart w:id="309" w:name="_Toc57598696"/>
      <w:bookmarkStart w:id="310" w:name="_Toc58933685"/>
      <w:r>
        <w:rPr>
          <w:rFonts w:ascii="仿宋_GB2312" w:hAnsi="楷体" w:eastAsia="仿宋_GB2312"/>
          <w:color w:val="000000" w:themeColor="text1"/>
          <w14:textFill>
            <w14:solidFill>
              <w14:schemeClr w14:val="tx1"/>
            </w14:solidFill>
          </w14:textFill>
        </w:rPr>
        <w:t>4</w:t>
      </w:r>
      <w:r>
        <w:rPr>
          <w:rFonts w:hint="eastAsia" w:ascii="仿宋_GB2312" w:hAnsi="楷体" w:eastAsia="仿宋_GB2312"/>
          <w:color w:val="000000" w:themeColor="text1"/>
          <w14:textFill>
            <w14:solidFill>
              <w14:schemeClr w14:val="tx1"/>
            </w14:solidFill>
          </w14:textFill>
        </w:rPr>
        <w:t>.专业运营</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14:textFill>
            <w14:solidFill>
              <w14:schemeClr w14:val="tx1"/>
            </w14:solidFill>
          </w14:textFill>
        </w:rPr>
      </w:pPr>
      <w:r>
        <w:rPr>
          <w:rFonts w:ascii="仿宋_GB2312" w:hAnsi="仿宋" w:eastAsia="仿宋_GB2312" w:cs="E-BX"/>
          <w:color w:val="000000" w:themeColor="text1"/>
          <w:kern w:val="0"/>
          <w:sz w:val="32"/>
          <w:szCs w:val="32"/>
          <w14:textFill>
            <w14:solidFill>
              <w14:schemeClr w14:val="tx1"/>
            </w14:solidFill>
          </w14:textFill>
        </w:rPr>
        <w:t>按照“政企合作、管运分离”要求，</w:t>
      </w:r>
      <w:r>
        <w:rPr>
          <w:rFonts w:hint="eastAsia" w:ascii="仿宋_GB2312" w:hAnsi="仿宋" w:eastAsia="仿宋_GB2312" w:cs="E-BX"/>
          <w:color w:val="000000" w:themeColor="text1"/>
          <w:kern w:val="0"/>
          <w:sz w:val="32"/>
          <w:szCs w:val="32"/>
          <w14:textFill>
            <w14:solidFill>
              <w14:schemeClr w14:val="tx1"/>
            </w14:solidFill>
          </w14:textFill>
        </w:rPr>
        <w:t>构建</w:t>
      </w:r>
      <w:r>
        <w:rPr>
          <w:rFonts w:ascii="仿宋_GB2312" w:hAnsi="仿宋" w:eastAsia="仿宋_GB2312" w:cs="E-BX"/>
          <w:color w:val="000000" w:themeColor="text1"/>
          <w:kern w:val="0"/>
          <w:sz w:val="32"/>
          <w:szCs w:val="32"/>
          <w14:textFill>
            <w14:solidFill>
              <w14:schemeClr w14:val="tx1"/>
            </w14:solidFill>
          </w14:textFill>
        </w:rPr>
        <w:t>数字政府产业生态体系</w:t>
      </w:r>
      <w:r>
        <w:rPr>
          <w:rFonts w:hint="eastAsia" w:ascii="仿宋_GB2312" w:hAnsi="仿宋" w:eastAsia="仿宋_GB2312" w:cs="E-BX"/>
          <w:color w:val="000000" w:themeColor="text1"/>
          <w:kern w:val="0"/>
          <w:sz w:val="32"/>
          <w:szCs w:val="32"/>
          <w14:textFill>
            <w14:solidFill>
              <w14:schemeClr w14:val="tx1"/>
            </w14:solidFill>
          </w14:textFill>
        </w:rPr>
        <w:t>，</w:t>
      </w:r>
      <w:r>
        <w:rPr>
          <w:rFonts w:ascii="仿宋_GB2312" w:hAnsi="仿宋" w:eastAsia="仿宋_GB2312" w:cs="E-BX"/>
          <w:color w:val="000000" w:themeColor="text1"/>
          <w:kern w:val="0"/>
          <w:sz w:val="32"/>
          <w:szCs w:val="32"/>
          <w14:textFill>
            <w14:solidFill>
              <w14:schemeClr w14:val="tx1"/>
            </w14:solidFill>
          </w14:textFill>
        </w:rPr>
        <w:t>采取购买服务模式开展</w:t>
      </w:r>
      <w:r>
        <w:rPr>
          <w:rFonts w:hint="eastAsia" w:ascii="仿宋_GB2312" w:hAnsi="仿宋" w:eastAsia="仿宋_GB2312" w:cs="E-BX"/>
          <w:color w:val="000000" w:themeColor="text1"/>
          <w:kern w:val="0"/>
          <w:sz w:val="32"/>
          <w:szCs w:val="32"/>
          <w14:textFill>
            <w14:solidFill>
              <w14:schemeClr w14:val="tx1"/>
            </w14:solidFill>
          </w14:textFill>
        </w:rPr>
        <w:t>区</w:t>
      </w:r>
      <w:r>
        <w:rPr>
          <w:rFonts w:ascii="仿宋_GB2312" w:hAnsi="仿宋" w:eastAsia="仿宋_GB2312" w:cs="E-BX"/>
          <w:color w:val="000000" w:themeColor="text1"/>
          <w:kern w:val="0"/>
          <w:sz w:val="32"/>
          <w:szCs w:val="32"/>
          <w14:textFill>
            <w14:solidFill>
              <w14:schemeClr w14:val="tx1"/>
            </w14:solidFill>
          </w14:textFill>
        </w:rPr>
        <w:t>级政务信息化项目建设、运营工作</w:t>
      </w:r>
      <w:r>
        <w:rPr>
          <w:rFonts w:hint="eastAsia" w:ascii="仿宋_GB2312" w:hAnsi="仿宋" w:eastAsia="仿宋_GB2312" w:cs="E-BX"/>
          <w:color w:val="000000" w:themeColor="text1"/>
          <w:kern w:val="0"/>
          <w:sz w:val="32"/>
          <w:szCs w:val="32"/>
          <w14:textFill>
            <w14:solidFill>
              <w14:schemeClr w14:val="tx1"/>
            </w14:solidFill>
          </w14:textFill>
        </w:rPr>
        <w:t>。</w:t>
      </w:r>
      <w:r>
        <w:rPr>
          <w:rFonts w:ascii="仿宋_GB2312" w:hAnsi="仿宋" w:eastAsia="仿宋_GB2312" w:cs="E-BX"/>
          <w:color w:val="000000" w:themeColor="text1"/>
          <w:kern w:val="0"/>
          <w:sz w:val="32"/>
          <w:szCs w:val="32"/>
          <w14:textFill>
            <w14:solidFill>
              <w14:schemeClr w14:val="tx1"/>
            </w14:solidFill>
          </w14:textFill>
        </w:rPr>
        <w:t>设立本级数字政府建设运营</w:t>
      </w:r>
      <w:r>
        <w:rPr>
          <w:rFonts w:hint="eastAsia" w:ascii="仿宋_GB2312" w:hAnsi="仿宋" w:eastAsia="仿宋_GB2312" w:cs="E-BX"/>
          <w:color w:val="000000" w:themeColor="text1"/>
          <w:kern w:val="0"/>
          <w:sz w:val="32"/>
          <w:szCs w:val="32"/>
          <w14:textFill>
            <w14:solidFill>
              <w14:schemeClr w14:val="tx1"/>
            </w14:solidFill>
          </w14:textFill>
        </w:rPr>
        <w:t>机构</w:t>
      </w:r>
      <w:r>
        <w:rPr>
          <w:rFonts w:ascii="仿宋_GB2312" w:hAnsi="仿宋" w:eastAsia="仿宋_GB2312" w:cs="E-BX"/>
          <w:color w:val="000000" w:themeColor="text1"/>
          <w:kern w:val="0"/>
          <w:sz w:val="32"/>
          <w:szCs w:val="32"/>
          <w14:textFill>
            <w14:solidFill>
              <w14:schemeClr w14:val="tx1"/>
            </w14:solidFill>
          </w14:textFill>
        </w:rPr>
        <w:t>，由</w:t>
      </w:r>
      <w:r>
        <w:rPr>
          <w:rFonts w:hint="eastAsia" w:ascii="仿宋_GB2312" w:hAnsi="仿宋" w:eastAsia="仿宋_GB2312" w:cs="E-BX"/>
          <w:color w:val="000000" w:themeColor="text1"/>
          <w:kern w:val="0"/>
          <w:sz w:val="32"/>
          <w:szCs w:val="32"/>
          <w14:textFill>
            <w14:solidFill>
              <w14:schemeClr w14:val="tx1"/>
            </w14:solidFill>
          </w14:textFill>
        </w:rPr>
        <w:t>区</w:t>
      </w:r>
      <w:r>
        <w:rPr>
          <w:rFonts w:ascii="仿宋_GB2312" w:hAnsi="仿宋" w:eastAsia="仿宋_GB2312" w:cs="E-BX"/>
          <w:color w:val="000000" w:themeColor="text1"/>
          <w:kern w:val="0"/>
          <w:sz w:val="32"/>
          <w:szCs w:val="32"/>
          <w14:textFill>
            <w14:solidFill>
              <w14:schemeClr w14:val="tx1"/>
            </w14:solidFill>
          </w14:textFill>
        </w:rPr>
        <w:t>政务服务数据管理</w:t>
      </w:r>
      <w:r>
        <w:rPr>
          <w:rFonts w:hint="eastAsia" w:ascii="仿宋_GB2312" w:hAnsi="仿宋" w:eastAsia="仿宋_GB2312" w:cs="E-BX"/>
          <w:color w:val="000000" w:themeColor="text1"/>
          <w:kern w:val="0"/>
          <w:sz w:val="32"/>
          <w:szCs w:val="32"/>
          <w14:textFill>
            <w14:solidFill>
              <w14:schemeClr w14:val="tx1"/>
            </w14:solidFill>
          </w14:textFill>
        </w:rPr>
        <w:t>部门</w:t>
      </w:r>
      <w:r>
        <w:rPr>
          <w:rFonts w:ascii="仿宋_GB2312" w:hAnsi="仿宋" w:eastAsia="仿宋_GB2312" w:cs="E-BX"/>
          <w:color w:val="000000" w:themeColor="text1"/>
          <w:kern w:val="0"/>
          <w:sz w:val="32"/>
          <w:szCs w:val="32"/>
          <w14:textFill>
            <w14:solidFill>
              <w14:schemeClr w14:val="tx1"/>
            </w14:solidFill>
          </w14:textFill>
        </w:rPr>
        <w:t>管理指导</w:t>
      </w:r>
      <w:r>
        <w:rPr>
          <w:rFonts w:hint="eastAsia" w:ascii="仿宋_GB2312" w:hAnsi="仿宋" w:eastAsia="仿宋_GB2312" w:cs="E-BX"/>
          <w:color w:val="000000" w:themeColor="text1"/>
          <w:kern w:val="0"/>
          <w:sz w:val="32"/>
          <w:szCs w:val="32"/>
          <w14:textFill>
            <w14:solidFill>
              <w14:schemeClr w14:val="tx1"/>
            </w14:solidFill>
          </w14:textFill>
        </w:rPr>
        <w:t>。</w:t>
      </w:r>
      <w:r>
        <w:rPr>
          <w:rFonts w:ascii="仿宋_GB2312" w:hAnsi="仿宋" w:eastAsia="仿宋_GB2312" w:cs="E-BX"/>
          <w:color w:val="000000" w:themeColor="text1"/>
          <w:kern w:val="0"/>
          <w:sz w:val="32"/>
          <w:szCs w:val="32"/>
          <w14:textFill>
            <w14:solidFill>
              <w14:schemeClr w14:val="tx1"/>
            </w14:solidFill>
          </w14:textFill>
        </w:rPr>
        <w:t>打造服务于数字政府建设及产业发展的双赢平台，形成政府作用与市场作用相结合的新模式。</w:t>
      </w:r>
    </w:p>
    <w:p>
      <w:pPr>
        <w:pStyle w:val="4"/>
        <w:keepNext w:val="0"/>
        <w:keepLines w:val="0"/>
        <w:spacing w:before="0" w:after="0" w:line="560" w:lineRule="exact"/>
        <w:ind w:left="567"/>
        <w:rPr>
          <w:rFonts w:hint="eastAsia" w:ascii="仿宋_GB2312" w:hAnsi="楷体" w:eastAsia="仿宋_GB2312"/>
          <w:color w:val="000000" w:themeColor="text1"/>
          <w14:textFill>
            <w14:solidFill>
              <w14:schemeClr w14:val="tx1"/>
            </w14:solidFill>
          </w14:textFill>
        </w:rPr>
      </w:pPr>
      <w:bookmarkStart w:id="311" w:name="_Toc75790500"/>
      <w:r>
        <w:rPr>
          <w:rFonts w:hint="eastAsia" w:ascii="仿宋_GB2312" w:hAnsi="楷体" w:eastAsia="仿宋_GB2312"/>
          <w:color w:val="000000" w:themeColor="text1"/>
          <w14:textFill>
            <w14:solidFill>
              <w14:schemeClr w14:val="tx1"/>
            </w14:solidFill>
          </w14:textFill>
        </w:rPr>
        <w:t>5</w:t>
      </w:r>
      <w:r>
        <w:rPr>
          <w:rFonts w:hint="eastAsia" w:ascii="仿宋_GB2312" w:hAnsi="楷体" w:eastAsia="仿宋_GB2312"/>
          <w:color w:val="000000" w:themeColor="text1"/>
          <w14:textFill>
            <w14:solidFill>
              <w14:schemeClr w14:val="tx1"/>
            </w14:solidFill>
          </w14:textFill>
        </w:rPr>
        <w:t>.</w:t>
      </w:r>
      <w:bookmarkEnd w:id="311"/>
      <w:r>
        <w:rPr>
          <w:rFonts w:hint="eastAsia" w:ascii="仿宋_GB2312" w:hAnsi="楷体" w:eastAsia="仿宋_GB2312"/>
          <w:color w:val="000000" w:themeColor="text1"/>
          <w14:textFill>
            <w14:solidFill>
              <w14:schemeClr w14:val="tx1"/>
            </w14:solidFill>
          </w14:textFill>
        </w:rPr>
        <w:t>基层放权</w:t>
      </w:r>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14:textFill>
            <w14:solidFill>
              <w14:schemeClr w14:val="tx1"/>
            </w14:solidFill>
          </w14:textFill>
        </w:rPr>
      </w:pPr>
      <w:r>
        <w:rPr>
          <w:rFonts w:hint="eastAsia" w:ascii="仿宋_GB2312" w:hAnsi="仿宋" w:eastAsia="仿宋_GB2312" w:cs="E-BX"/>
          <w:color w:val="000000" w:themeColor="text1"/>
          <w:kern w:val="0"/>
          <w:sz w:val="32"/>
          <w:szCs w:val="32"/>
          <w14:textFill>
            <w14:solidFill>
              <w14:schemeClr w14:val="tx1"/>
            </w14:solidFill>
          </w14:textFill>
        </w:rPr>
        <w:t>深入推进“放管服”改革，加快推动政府职能转变，进一步加大向市场、社会和基层政府简政放权力度，建立政务服务事项下放委托调整工作机制。结合机构改革实际情况，充分赋权街道（镇），区政务服务数据管理部门负责统筹组织工作，区机构编制委员会负责政务服务事项与部门“三定”的一致性审核工作，区司法部门负责政务服务事项合法性审核工作。区、街道（镇）、村各司其职，随着改革的推进，各地加强各政务服务事项权责的管理，加大人员投入，做好政务服务工作。</w:t>
      </w:r>
    </w:p>
    <w:p>
      <w:pPr>
        <w:widowControl/>
        <w:spacing w:line="560" w:lineRule="exact"/>
        <w:ind w:firstLine="640" w:firstLineChars="200"/>
        <w:jc w:val="left"/>
        <w:outlineLvl w:val="1"/>
        <w:rPr>
          <w:rFonts w:ascii="楷体_GB2312" w:hAnsi="黑体" w:eastAsia="楷体_GB2312" w:cs="仿宋_GB2312"/>
          <w:color w:val="000000" w:themeColor="text1"/>
          <w:kern w:val="0"/>
          <w:sz w:val="32"/>
          <w:szCs w:val="32"/>
          <w14:textFill>
            <w14:solidFill>
              <w14:schemeClr w14:val="tx1"/>
            </w14:solidFill>
          </w14:textFill>
        </w:rPr>
      </w:pPr>
      <w:bookmarkStart w:id="312" w:name="_Toc75790502"/>
      <w:r>
        <w:rPr>
          <w:rFonts w:hint="eastAsia" w:ascii="楷体_GB2312" w:hAnsi="黑体" w:eastAsia="楷体_GB2312" w:cs="仿宋_GB2312"/>
          <w:color w:val="000000" w:themeColor="text1"/>
          <w:kern w:val="0"/>
          <w:sz w:val="32"/>
          <w:szCs w:val="32"/>
          <w14:textFill>
            <w14:solidFill>
              <w14:schemeClr w14:val="tx1"/>
            </w14:solidFill>
          </w14:textFill>
        </w:rPr>
        <w:t>（三）业务架构</w:t>
      </w:r>
      <w:bookmarkEnd w:id="312"/>
    </w:p>
    <w:p>
      <w:pPr>
        <w:autoSpaceDE w:val="0"/>
        <w:autoSpaceDN w:val="0"/>
        <w:adjustRightInd w:val="0"/>
        <w:spacing w:line="560" w:lineRule="exact"/>
        <w:ind w:firstLine="640" w:firstLineChars="200"/>
        <w:rPr>
          <w:color w:val="000000" w:themeColor="text1"/>
          <w14:textFill>
            <w14:solidFill>
              <w14:schemeClr w14:val="tx1"/>
            </w14:solidFill>
          </w14:textFill>
        </w:rPr>
      </w:pPr>
      <w:r>
        <w:rPr>
          <w:rFonts w:hint="eastAsia" w:ascii="仿宋_GB2312" w:hAnsi="仿宋" w:eastAsia="仿宋_GB2312" w:cs="E-BX"/>
          <w:color w:val="000000" w:themeColor="text1"/>
          <w:kern w:val="0"/>
          <w:sz w:val="32"/>
          <w:szCs w:val="32"/>
          <w14:textFill>
            <w14:solidFill>
              <w14:schemeClr w14:val="tx1"/>
            </w14:solidFill>
          </w14:textFill>
        </w:rPr>
        <w:t>按照省、市“数字政府”业务框架统筹建设的要求，结合全区各级各部门业务发展的实际情况，以业务应用为主线，依托由物联感知体系、基础网络体系、云平台和数智大脑组成的支撑平台，围绕政府、企业、群众等三大类服务对象的切实需求，构建全方位、宽领域、富特色的服务型“数字政府”业务体系。通过线上线下服务渠道的融合，提供涵盖政务服务、产业发展、民生保障、城区治理四大领域的数字应用，为推动经开区高质量发展提供强力支撑。</w:t>
      </w:r>
    </w:p>
    <w:p>
      <w:pPr>
        <w:pStyle w:val="60"/>
        <w:ind w:firstLine="0" w:firstLineChars="0"/>
        <w:rPr>
          <w:rFonts w:ascii="仿宋" w:hAnsi="仿宋" w:eastAsia="仿宋_GB2312"/>
          <w:color w:val="000000" w:themeColor="text1"/>
          <w:sz w:val="28"/>
          <w14:textFill>
            <w14:solidFill>
              <w14:schemeClr w14:val="tx1"/>
            </w14:solidFill>
          </w14:textFill>
        </w:rPr>
        <w:sectPr>
          <w:pgSz w:w="11900" w:h="16838"/>
          <w:pgMar w:top="1440" w:right="1920" w:bottom="1440" w:left="1800" w:header="0" w:footer="942" w:gutter="0"/>
          <w:cols w:equalWidth="0" w:num="1">
            <w:col w:w="8180"/>
          </w:cols>
        </w:sectPr>
      </w:pPr>
    </w:p>
    <w:p>
      <w:pPr>
        <w:pStyle w:val="60"/>
        <w:ind w:right="320" w:firstLine="0" w:firstLineChars="0"/>
        <w:jc w:val="center"/>
        <w:rPr>
          <w:rFonts w:ascii="仿宋" w:hAnsi="仿宋" w:eastAsia="仿宋_GB2312"/>
          <w:color w:val="000000" w:themeColor="text1"/>
          <w:sz w:val="21"/>
          <w:szCs w:val="21"/>
          <w:highlight w:val="none"/>
          <w14:textFill>
            <w14:solidFill>
              <w14:schemeClr w14:val="tx1"/>
            </w14:solidFill>
          </w14:textFill>
        </w:rPr>
      </w:pPr>
      <w:r>
        <w:drawing>
          <wp:inline distT="0" distB="0" distL="0" distR="0">
            <wp:extent cx="8882380" cy="4889500"/>
            <wp:effectExtent l="0" t="0" r="0" b="6350"/>
            <wp:docPr id="5" name="图片 5" descr="表格&#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表格&#10;&#10;低可信度描述已自动生成"/>
                    <pic:cNvPicPr>
                      <a:picLocks noChangeAspect="1" noChangeArrowheads="1"/>
                    </pic:cNvPicPr>
                  </pic:nvPicPr>
                  <pic:blipFill>
                    <a:blip r:embed="rId9">
                      <a:extLst>
                        <a:ext uri="{28A0092B-C50C-407E-A947-70E740481C1C}">
                          <a14:useLocalDpi xmlns:a14="http://schemas.microsoft.com/office/drawing/2010/main" val="0"/>
                        </a:ext>
                      </a:extLst>
                    </a:blip>
                    <a:srcRect t="48239"/>
                    <a:stretch>
                      <a:fillRect/>
                    </a:stretch>
                  </pic:blipFill>
                  <pic:spPr>
                    <a:xfrm>
                      <a:off x="0" y="0"/>
                      <a:ext cx="8889744" cy="4893953"/>
                    </a:xfrm>
                    <a:prstGeom prst="rect">
                      <a:avLst/>
                    </a:prstGeom>
                    <a:noFill/>
                    <a:ln>
                      <a:noFill/>
                    </a:ln>
                  </pic:spPr>
                </pic:pic>
              </a:graphicData>
            </a:graphic>
          </wp:inline>
        </w:drawing>
      </w:r>
      <w:r>
        <w:rPr>
          <w:rFonts w:hint="eastAsia" w:ascii="仿宋" w:hAnsi="仿宋" w:eastAsia="仿宋_GB2312"/>
          <w:color w:val="000000" w:themeColor="text1"/>
          <w:sz w:val="28"/>
          <w14:textFill>
            <w14:solidFill>
              <w14:schemeClr w14:val="tx1"/>
            </w14:solidFill>
          </w14:textFill>
        </w:rPr>
        <w:t xml:space="preserve"> </w:t>
      </w:r>
      <w:r>
        <w:rPr>
          <w:rFonts w:ascii="仿宋" w:hAnsi="仿宋" w:eastAsia="仿宋_GB2312"/>
          <w:color w:val="000000" w:themeColor="text1"/>
          <w:sz w:val="28"/>
          <w14:textFill>
            <w14:solidFill>
              <w14:schemeClr w14:val="tx1"/>
            </w14:solidFill>
          </w14:textFill>
        </w:rPr>
        <w:t xml:space="preserve">                           </w:t>
      </w:r>
      <w:r>
        <w:rPr>
          <w:rFonts w:ascii="仿宋" w:hAnsi="仿宋" w:eastAsia="仿宋_GB2312"/>
          <w:color w:val="000000" w:themeColor="text1"/>
          <w:sz w:val="28"/>
          <w:highlight w:val="none"/>
          <w14:textFill>
            <w14:solidFill>
              <w14:schemeClr w14:val="tx1"/>
            </w14:solidFill>
          </w14:textFill>
        </w:rPr>
        <w:t xml:space="preserve"> </w:t>
      </w:r>
      <w:r>
        <w:rPr>
          <w:rFonts w:hint="eastAsia" w:ascii="黑体" w:hAnsi="黑体" w:eastAsia="黑体" w:cs="黑体"/>
          <w:color w:val="000000" w:themeColor="text1"/>
          <w:sz w:val="24"/>
          <w:szCs w:val="24"/>
          <w:highlight w:val="none"/>
          <w14:textFill>
            <w14:solidFill>
              <w14:schemeClr w14:val="tx1"/>
            </w14:solidFill>
          </w14:textFill>
        </w:rPr>
        <w:t>图</w:t>
      </w:r>
      <w:r>
        <w:rPr>
          <w:rFonts w:ascii="黑体" w:hAnsi="黑体" w:eastAsia="黑体" w:cs="黑体"/>
          <w:color w:val="000000" w:themeColor="text1"/>
          <w:sz w:val="24"/>
          <w:szCs w:val="24"/>
          <w:highlight w:val="none"/>
          <w14:textFill>
            <w14:solidFill>
              <w14:schemeClr w14:val="tx1"/>
            </w14:solidFill>
          </w14:textFill>
        </w:rPr>
        <w:t>3</w:t>
      </w:r>
      <w:r>
        <w:rPr>
          <w:rFonts w:hint="eastAsia" w:ascii="黑体" w:hAnsi="黑体" w:eastAsia="黑体" w:cs="黑体"/>
          <w:color w:val="000000" w:themeColor="text1"/>
          <w:sz w:val="24"/>
          <w:szCs w:val="24"/>
          <w:highlight w:val="none"/>
          <w14:textFill>
            <w14:solidFill>
              <w14:schemeClr w14:val="tx1"/>
            </w14:solidFill>
          </w14:textFill>
        </w:rPr>
        <w:t>经开区“数字政府”业务架构图</w:t>
      </w:r>
    </w:p>
    <w:p>
      <w:pPr>
        <w:autoSpaceDE w:val="0"/>
        <w:autoSpaceDN w:val="0"/>
        <w:adjustRightInd w:val="0"/>
        <w:spacing w:line="560" w:lineRule="exact"/>
        <w:rPr>
          <w:color w:val="000000" w:themeColor="text1"/>
          <w14:textFill>
            <w14:solidFill>
              <w14:schemeClr w14:val="tx1"/>
            </w14:solidFill>
          </w14:textFill>
        </w:rPr>
        <w:sectPr>
          <w:pgSz w:w="16838" w:h="11900" w:orient="landscape"/>
          <w:pgMar w:top="1800" w:right="1440" w:bottom="1920" w:left="1440" w:header="0" w:footer="942" w:gutter="0"/>
          <w:cols w:equalWidth="0" w:num="1">
            <w:col w:w="8180"/>
          </w:cols>
          <w:docGrid w:linePitch="286" w:charSpace="0"/>
        </w:sectPr>
      </w:pPr>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14:textFill>
            <w14:solidFill>
              <w14:schemeClr w14:val="tx1"/>
            </w14:solidFill>
          </w14:textFill>
        </w:rPr>
      </w:pPr>
      <w:r>
        <w:rPr>
          <w:rFonts w:hint="eastAsia" w:ascii="仿宋_GB2312" w:hAnsi="仿宋" w:eastAsia="仿宋_GB2312" w:cs="E-BX"/>
          <w:color w:val="000000" w:themeColor="text1"/>
          <w:kern w:val="0"/>
          <w:sz w:val="32"/>
          <w:szCs w:val="32"/>
          <w14:textFill>
            <w14:solidFill>
              <w14:schemeClr w14:val="tx1"/>
            </w14:solidFill>
          </w14:textFill>
        </w:rPr>
        <w:t>1.政务服务应用。为企业、群众提供多种方式、多种渠道的、便捷优质的线上、</w:t>
      </w:r>
      <w:bookmarkStart w:id="313" w:name="page16"/>
      <w:bookmarkEnd w:id="313"/>
      <w:r>
        <w:rPr>
          <w:rFonts w:hint="eastAsia" w:ascii="仿宋_GB2312" w:hAnsi="仿宋" w:eastAsia="仿宋_GB2312" w:cs="E-BX"/>
          <w:color w:val="000000" w:themeColor="text1"/>
          <w:kern w:val="0"/>
          <w:sz w:val="32"/>
          <w:szCs w:val="32"/>
          <w14:textFill>
            <w14:solidFill>
              <w14:schemeClr w14:val="tx1"/>
            </w14:solidFill>
          </w14:textFill>
        </w:rPr>
        <w:t>线下办事体验，形成线上线下协同、服务到位的移动化、普惠化、人性化服务体系。加快对接省、市协同办公平台，推动“整体政府”业务协同，部门整体联动，提高政府机关内部办公效率和对外服务效能。</w:t>
      </w:r>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14:textFill>
            <w14:solidFill>
              <w14:schemeClr w14:val="tx1"/>
            </w14:solidFill>
          </w14:textFill>
        </w:rPr>
      </w:pPr>
      <w:r>
        <w:rPr>
          <w:rFonts w:hint="eastAsia" w:ascii="仿宋_GB2312" w:hAnsi="仿宋" w:eastAsia="仿宋_GB2312" w:cs="E-BX"/>
          <w:color w:val="000000" w:themeColor="text1"/>
          <w:kern w:val="0"/>
          <w:sz w:val="32"/>
          <w:szCs w:val="32"/>
          <w14:textFill>
            <w14:solidFill>
              <w14:schemeClr w14:val="tx1"/>
            </w14:solidFill>
          </w14:textFill>
        </w:rPr>
        <w:t>2.产业发展应用。</w:t>
      </w:r>
      <w:r>
        <w:rPr>
          <w:rFonts w:ascii="Times New Roman" w:hAnsi="Times New Roman" w:eastAsia="仿宋_GB2312" w:cs="Times New Roman"/>
          <w:color w:val="000000" w:themeColor="text1"/>
          <w:sz w:val="32"/>
          <w:szCs w:val="32"/>
          <w14:textFill>
            <w14:solidFill>
              <w14:schemeClr w14:val="tx1"/>
            </w14:solidFill>
          </w14:textFill>
        </w:rPr>
        <w:t>深入推进工程建设项目审批制度改革，深化商事制度改革，</w:t>
      </w:r>
      <w:r>
        <w:rPr>
          <w:rFonts w:hint="eastAsia" w:ascii="仿宋_GB2312" w:hAnsi="仿宋" w:eastAsia="仿宋_GB2312" w:cs="E-BX"/>
          <w:color w:val="000000" w:themeColor="text1"/>
          <w:kern w:val="0"/>
          <w:sz w:val="32"/>
          <w:szCs w:val="32"/>
          <w14:textFill>
            <w14:solidFill>
              <w14:schemeClr w14:val="tx1"/>
            </w14:solidFill>
          </w14:textFill>
        </w:rPr>
        <w:t>打造优质的政务营商环境</w:t>
      </w:r>
      <w:r>
        <w:rPr>
          <w:rFonts w:ascii="Times New Roman" w:hAnsi="Times New Roman" w:eastAsia="仿宋_GB2312" w:cs="Times New Roman"/>
          <w:color w:val="000000" w:themeColor="text1"/>
          <w:sz w:val="32"/>
          <w:szCs w:val="32"/>
          <w14:textFill>
            <w14:solidFill>
              <w14:schemeClr w14:val="tx1"/>
            </w14:solidFill>
          </w14:textFill>
        </w:rPr>
        <w:t>。</w:t>
      </w:r>
      <w:r>
        <w:rPr>
          <w:rFonts w:ascii="仿宋_GB2312" w:hAnsi="仿宋" w:eastAsia="仿宋_GB2312" w:cs="E-BX"/>
          <w:color w:val="000000" w:themeColor="text1"/>
          <w:kern w:val="0"/>
          <w:sz w:val="32"/>
          <w:szCs w:val="32"/>
          <w14:textFill>
            <w14:solidFill>
              <w14:schemeClr w14:val="tx1"/>
            </w14:solidFill>
          </w14:textFill>
        </w:rPr>
        <w:t>利用物联网、大数据、人工智能</w:t>
      </w:r>
      <w:r>
        <w:rPr>
          <w:rFonts w:hint="eastAsia" w:ascii="仿宋_GB2312" w:hAnsi="仿宋" w:eastAsia="仿宋_GB2312" w:cs="E-BX"/>
          <w:color w:val="000000" w:themeColor="text1"/>
          <w:kern w:val="0"/>
          <w:sz w:val="32"/>
          <w:szCs w:val="32"/>
          <w14:textFill>
            <w14:solidFill>
              <w14:schemeClr w14:val="tx1"/>
            </w14:solidFill>
          </w14:textFill>
        </w:rPr>
        <w:t>、区块链、5G</w:t>
      </w:r>
      <w:r>
        <w:rPr>
          <w:rFonts w:ascii="仿宋_GB2312" w:hAnsi="仿宋" w:eastAsia="仿宋_GB2312" w:cs="E-BX"/>
          <w:color w:val="000000" w:themeColor="text1"/>
          <w:kern w:val="0"/>
          <w:sz w:val="32"/>
          <w:szCs w:val="32"/>
          <w14:textFill>
            <w14:solidFill>
              <w14:schemeClr w14:val="tx1"/>
            </w14:solidFill>
          </w14:textFill>
        </w:rPr>
        <w:t>等新一代数字技术，大力推进产业数字化，提高全要素生产率，</w:t>
      </w:r>
      <w:r>
        <w:rPr>
          <w:rFonts w:hint="eastAsia" w:ascii="仿宋_GB2312" w:hAnsi="仿宋" w:eastAsia="仿宋_GB2312" w:cs="E-BX"/>
          <w:color w:val="000000" w:themeColor="text1"/>
          <w:kern w:val="0"/>
          <w:sz w:val="32"/>
          <w:szCs w:val="32"/>
          <w14:textFill>
            <w14:solidFill>
              <w14:schemeClr w14:val="tx1"/>
            </w14:solidFill>
          </w14:textFill>
        </w:rPr>
        <w:t>围绕工业、现代服务业、农业等产业，以发展区域性特色产业为目标，</w:t>
      </w:r>
      <w:r>
        <w:rPr>
          <w:rFonts w:ascii="仿宋_GB2312" w:hAnsi="仿宋" w:eastAsia="仿宋_GB2312" w:cs="E-BX"/>
          <w:color w:val="000000" w:themeColor="text1"/>
          <w:kern w:val="0"/>
          <w:sz w:val="32"/>
          <w:szCs w:val="32"/>
          <w14:textFill>
            <w14:solidFill>
              <w14:schemeClr w14:val="tx1"/>
            </w14:solidFill>
          </w14:textFill>
        </w:rPr>
        <w:t>赋能特色产业“智变”，助推经济转型升级，</w:t>
      </w:r>
      <w:r>
        <w:rPr>
          <w:rFonts w:hint="eastAsia" w:ascii="仿宋_GB2312" w:hAnsi="仿宋" w:eastAsia="仿宋_GB2312" w:cs="E-BX"/>
          <w:color w:val="000000" w:themeColor="text1"/>
          <w:kern w:val="0"/>
          <w:sz w:val="32"/>
          <w:szCs w:val="32"/>
          <w14:textFill>
            <w14:solidFill>
              <w14:schemeClr w14:val="tx1"/>
            </w14:solidFill>
          </w14:textFill>
        </w:rPr>
        <w:t>提高整个城区对产业服务的能力和水平。</w:t>
      </w:r>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14:textFill>
            <w14:solidFill>
              <w14:schemeClr w14:val="tx1"/>
            </w14:solidFill>
          </w14:textFill>
        </w:rPr>
      </w:pPr>
      <w:r>
        <w:rPr>
          <w:rFonts w:hint="eastAsia" w:ascii="仿宋_GB2312" w:hAnsi="仿宋" w:eastAsia="仿宋_GB2312" w:cs="E-BX"/>
          <w:color w:val="000000" w:themeColor="text1"/>
          <w:kern w:val="0"/>
          <w:sz w:val="32"/>
          <w:szCs w:val="32"/>
          <w14:textFill>
            <w14:solidFill>
              <w14:schemeClr w14:val="tx1"/>
            </w14:solidFill>
          </w14:textFill>
        </w:rPr>
        <w:t>3.民生保障应用。整合各类民生服务，重点在教育、医疗、社区、文旅等服务方面，推进大数据、物联网、云计算等新一代信息技术在民生保障方面的深度融合和创新应用，优化公共服务资源配置，形成线上线下协同的移动化、整体化、普惠化、人性化服务能力。</w:t>
      </w:r>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14:textFill>
            <w14:solidFill>
              <w14:schemeClr w14:val="tx1"/>
            </w14:solidFill>
          </w14:textFill>
        </w:rPr>
      </w:pPr>
      <w:r>
        <w:rPr>
          <w:rFonts w:hint="eastAsia" w:ascii="仿宋_GB2312" w:hAnsi="仿宋" w:eastAsia="仿宋_GB2312" w:cs="E-BX"/>
          <w:color w:val="000000" w:themeColor="text1"/>
          <w:kern w:val="0"/>
          <w:sz w:val="32"/>
          <w:szCs w:val="32"/>
          <w14:textFill>
            <w14:solidFill>
              <w14:schemeClr w14:val="tx1"/>
            </w14:solidFill>
          </w14:textFill>
        </w:rPr>
        <w:t>4.城区治理应用。适应新形势下经开区</w:t>
      </w:r>
      <w:bookmarkStart w:id="314" w:name="_Hlk55406804"/>
      <w:r>
        <w:rPr>
          <w:rFonts w:hint="eastAsia" w:ascii="仿宋_GB2312" w:hAnsi="仿宋" w:eastAsia="仿宋_GB2312" w:cs="E-BX"/>
          <w:color w:val="000000" w:themeColor="text1"/>
          <w:kern w:val="0"/>
          <w:sz w:val="32"/>
          <w:szCs w:val="32"/>
          <w14:textFill>
            <w14:solidFill>
              <w14:schemeClr w14:val="tx1"/>
            </w14:solidFill>
          </w14:textFill>
        </w:rPr>
        <w:t>城</w:t>
      </w:r>
      <w:bookmarkEnd w:id="314"/>
      <w:r>
        <w:rPr>
          <w:rFonts w:hint="eastAsia" w:ascii="仿宋_GB2312" w:hAnsi="仿宋" w:eastAsia="仿宋_GB2312" w:cs="E-BX"/>
          <w:color w:val="000000" w:themeColor="text1"/>
          <w:kern w:val="0"/>
          <w:sz w:val="32"/>
          <w:szCs w:val="32"/>
          <w14:textFill>
            <w14:solidFill>
              <w14:schemeClr w14:val="tx1"/>
            </w14:solidFill>
          </w14:textFill>
        </w:rPr>
        <w:t>区管理、综合治理、应急联动等业务发展需求，深化城区态势感知、决策分析、事件</w:t>
      </w:r>
      <w:bookmarkStart w:id="315" w:name="page17"/>
      <w:bookmarkEnd w:id="315"/>
      <w:r>
        <w:rPr>
          <w:rFonts w:hint="eastAsia" w:ascii="仿宋_GB2312" w:hAnsi="仿宋" w:eastAsia="仿宋_GB2312" w:cs="E-BX"/>
          <w:color w:val="000000" w:themeColor="text1"/>
          <w:kern w:val="0"/>
          <w:sz w:val="32"/>
          <w:szCs w:val="32"/>
          <w14:textFill>
            <w14:solidFill>
              <w14:schemeClr w14:val="tx1"/>
            </w14:solidFill>
          </w14:textFill>
        </w:rPr>
        <w:t>管理、监测预警、应急指挥，促进城区精细化管理，提升城区治理信息监测、分析、研判、决策能力。</w:t>
      </w:r>
    </w:p>
    <w:p>
      <w:pPr>
        <w:widowControl/>
        <w:spacing w:line="560" w:lineRule="exact"/>
        <w:ind w:firstLine="640" w:firstLineChars="200"/>
        <w:jc w:val="left"/>
        <w:outlineLvl w:val="1"/>
        <w:rPr>
          <w:rFonts w:ascii="楷体_GB2312" w:hAnsi="黑体" w:eastAsia="楷体_GB2312" w:cs="仿宋_GB2312"/>
          <w:color w:val="000000" w:themeColor="text1"/>
          <w:kern w:val="0"/>
          <w:sz w:val="32"/>
          <w:szCs w:val="32"/>
          <w14:textFill>
            <w14:solidFill>
              <w14:schemeClr w14:val="tx1"/>
            </w14:solidFill>
          </w14:textFill>
        </w:rPr>
      </w:pPr>
      <w:bookmarkStart w:id="316" w:name="_Toc75790503"/>
      <w:r>
        <w:rPr>
          <w:rFonts w:hint="eastAsia" w:ascii="楷体_GB2312" w:hAnsi="黑体" w:eastAsia="楷体_GB2312" w:cs="仿宋_GB2312"/>
          <w:color w:val="000000" w:themeColor="text1"/>
          <w:kern w:val="0"/>
          <w:sz w:val="32"/>
          <w:szCs w:val="32"/>
          <w14:textFill>
            <w14:solidFill>
              <w14:schemeClr w14:val="tx1"/>
            </w14:solidFill>
          </w14:textFill>
        </w:rPr>
        <w:t>（四）技术架构</w:t>
      </w:r>
      <w:bookmarkEnd w:id="316"/>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14:textFill>
            <w14:solidFill>
              <w14:schemeClr w14:val="tx1"/>
            </w14:solidFill>
          </w14:textFill>
        </w:rPr>
      </w:pPr>
      <w:r>
        <w:rPr>
          <w:rFonts w:hint="eastAsia" w:ascii="仿宋_GB2312" w:hAnsi="仿宋" w:eastAsia="仿宋_GB2312" w:cs="E-BX"/>
          <w:color w:val="000000" w:themeColor="text1"/>
          <w:kern w:val="0"/>
          <w:sz w:val="32"/>
          <w:szCs w:val="32"/>
          <w14:textFill>
            <w14:solidFill>
              <w14:schemeClr w14:val="tx1"/>
            </w14:solidFill>
          </w14:textFill>
        </w:rPr>
        <w:t>经开区“数字政府”的技术架构按照省、市“数字政府”“四横三纵”的分层架构模型构建，“四横”是业务应用层、应用支撑层、数据资源层、基础设施层；“三纵”是信息安全体系、标准体系、运行管理体系。</w:t>
      </w:r>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14:textFill>
            <w14:solidFill>
              <w14:schemeClr w14:val="tx1"/>
            </w14:solidFill>
          </w14:textFill>
        </w:rPr>
        <w:sectPr>
          <w:pgSz w:w="11900" w:h="16838"/>
          <w:pgMar w:top="1440" w:right="1920" w:bottom="1440" w:left="1800" w:header="0" w:footer="942" w:gutter="0"/>
          <w:cols w:equalWidth="0" w:num="1">
            <w:col w:w="8180"/>
          </w:cols>
          <w:docGrid w:linePitch="286" w:charSpace="0"/>
        </w:sectPr>
      </w:pPr>
    </w:p>
    <w:p>
      <w:pPr>
        <w:pStyle w:val="60"/>
        <w:ind w:left="1" w:leftChars="-202" w:right="280" w:hanging="425" w:hangingChars="133"/>
        <w:rPr>
          <w:rFonts w:ascii="黑体" w:hAnsi="黑体" w:eastAsia="黑体" w:cs="黑体"/>
          <w:color w:val="000000" w:themeColor="text1"/>
          <w:sz w:val="24"/>
          <w:szCs w:val="24"/>
          <w14:textFill>
            <w14:solidFill>
              <w14:schemeClr w14:val="tx1"/>
            </w14:solidFill>
          </w14:textFill>
        </w:rPr>
        <w:sectPr>
          <w:pgSz w:w="16838" w:h="11900" w:orient="landscape"/>
          <w:pgMar w:top="1800" w:right="1440" w:bottom="1920" w:left="1440" w:header="0" w:footer="942" w:gutter="0"/>
          <w:cols w:equalWidth="0" w:num="1">
            <w:col w:w="8180"/>
          </w:cols>
          <w:docGrid w:linePitch="286" w:charSpace="0"/>
        </w:sectPr>
      </w:pPr>
      <w:r>
        <w:drawing>
          <wp:inline distT="0" distB="0" distL="0" distR="0">
            <wp:extent cx="9453880" cy="4749800"/>
            <wp:effectExtent l="0" t="0" r="0" b="0"/>
            <wp:docPr id="4" name="图片 4" descr="图形用户界面,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 表格&#10;&#10;描述已自动生成"/>
                    <pic:cNvPicPr>
                      <a:picLocks noChangeAspect="1"/>
                    </pic:cNvPicPr>
                  </pic:nvPicPr>
                  <pic:blipFill>
                    <a:blip r:embed="rId10"/>
                    <a:stretch>
                      <a:fillRect/>
                    </a:stretch>
                  </pic:blipFill>
                  <pic:spPr>
                    <a:xfrm>
                      <a:off x="0" y="0"/>
                      <a:ext cx="9469541" cy="4757924"/>
                    </a:xfrm>
                    <a:prstGeom prst="rect">
                      <a:avLst/>
                    </a:prstGeom>
                  </pic:spPr>
                </pic:pic>
              </a:graphicData>
            </a:graphic>
          </wp:inline>
        </w:drawing>
      </w:r>
      <w:r>
        <w:t xml:space="preserve">                   </w:t>
      </w:r>
      <w:r>
        <w:rPr>
          <w:rFonts w:ascii="黑体" w:hAnsi="黑体" w:eastAsia="黑体" w:cs="黑体"/>
          <w:color w:val="000000" w:themeColor="text1"/>
          <w:sz w:val="24"/>
          <w:szCs w:val="24"/>
          <w14:textFill>
            <w14:solidFill>
              <w14:schemeClr w14:val="tx1"/>
            </w14:solidFill>
          </w14:textFill>
        </w:rPr>
        <w:t xml:space="preserve">        </w:t>
      </w:r>
      <w:r>
        <w:rPr>
          <w:rFonts w:hint="eastAsia" w:ascii="黑体" w:hAnsi="黑体" w:eastAsia="黑体" w:cs="黑体"/>
          <w:color w:val="000000" w:themeColor="text1"/>
          <w:sz w:val="24"/>
          <w:szCs w:val="24"/>
          <w:highlight w:val="none"/>
          <w14:textFill>
            <w14:solidFill>
              <w14:schemeClr w14:val="tx1"/>
            </w14:solidFill>
          </w14:textFill>
        </w:rPr>
        <w:t>图</w:t>
      </w:r>
      <w:r>
        <w:rPr>
          <w:rFonts w:ascii="黑体" w:hAnsi="黑体" w:eastAsia="黑体" w:cs="黑体"/>
          <w:color w:val="000000" w:themeColor="text1"/>
          <w:sz w:val="24"/>
          <w:szCs w:val="24"/>
          <w:highlight w:val="none"/>
          <w14:textFill>
            <w14:solidFill>
              <w14:schemeClr w14:val="tx1"/>
            </w14:solidFill>
          </w14:textFill>
        </w:rPr>
        <w:t>4</w:t>
      </w:r>
      <w:r>
        <w:rPr>
          <w:rFonts w:hint="eastAsia" w:ascii="黑体" w:hAnsi="黑体" w:eastAsia="黑体" w:cs="黑体"/>
          <w:color w:val="000000" w:themeColor="text1"/>
          <w:sz w:val="24"/>
          <w:szCs w:val="24"/>
          <w:highlight w:val="none"/>
          <w14:textFill>
            <w14:solidFill>
              <w14:schemeClr w14:val="tx1"/>
            </w14:solidFill>
          </w14:textFill>
        </w:rPr>
        <w:t>经开区“数字政府”技术架构图</w:t>
      </w:r>
      <w:bookmarkStart w:id="317" w:name="_Toc58916853"/>
      <w:bookmarkStart w:id="318" w:name="_Toc58569955"/>
      <w:bookmarkStart w:id="319" w:name="_Toc58933688"/>
      <w:bookmarkStart w:id="320" w:name="_Toc57017170"/>
      <w:bookmarkStart w:id="321" w:name="_Toc57929326"/>
      <w:bookmarkStart w:id="322" w:name="_Toc57598699"/>
      <w:bookmarkStart w:id="323" w:name="_Toc57015339"/>
      <w:bookmarkStart w:id="324" w:name="_Toc57015446"/>
      <w:bookmarkStart w:id="325" w:name="_Toc63303000"/>
      <w:bookmarkStart w:id="326" w:name="_Toc56410734"/>
      <w:bookmarkStart w:id="327" w:name="_Toc59121360"/>
      <w:bookmarkStart w:id="328" w:name="_Toc56903784"/>
    </w:p>
    <w:p>
      <w:pPr>
        <w:pStyle w:val="4"/>
        <w:keepNext w:val="0"/>
        <w:keepLines w:val="0"/>
        <w:spacing w:before="0" w:after="0" w:line="560" w:lineRule="exact"/>
        <w:ind w:left="567"/>
        <w:rPr>
          <w:rFonts w:ascii="仿宋_GB2312" w:hAnsi="楷体" w:eastAsia="仿宋_GB2312"/>
          <w:color w:val="000000" w:themeColor="text1"/>
          <w14:textFill>
            <w14:solidFill>
              <w14:schemeClr w14:val="tx1"/>
            </w14:solidFill>
          </w14:textFill>
        </w:rPr>
      </w:pPr>
      <w:bookmarkStart w:id="329" w:name="_Toc67470132"/>
      <w:bookmarkStart w:id="330" w:name="_Toc75790504"/>
      <w:bookmarkStart w:id="331" w:name="_Toc64873716"/>
      <w:bookmarkStart w:id="332" w:name="_Toc64866081"/>
      <w:bookmarkStart w:id="333" w:name="_Toc68615353"/>
      <w:bookmarkStart w:id="334" w:name="_Toc64863219"/>
      <w:bookmarkStart w:id="335" w:name="_Toc72936845"/>
      <w:bookmarkStart w:id="336" w:name="_Toc63751412"/>
      <w:r>
        <w:rPr>
          <w:rFonts w:ascii="仿宋_GB2312" w:hAnsi="楷体" w:eastAsia="仿宋_GB2312"/>
          <w:color w:val="000000" w:themeColor="text1"/>
          <w14:textFill>
            <w14:solidFill>
              <w14:schemeClr w14:val="tx1"/>
            </w14:solidFill>
          </w14:textFill>
        </w:rPr>
        <w:t>1</w:t>
      </w:r>
      <w:r>
        <w:rPr>
          <w:rFonts w:hint="eastAsia" w:ascii="仿宋_GB2312" w:hAnsi="楷体" w:eastAsia="仿宋_GB2312"/>
          <w:color w:val="000000" w:themeColor="text1"/>
          <w14:textFill>
            <w14:solidFill>
              <w14:schemeClr w14:val="tx1"/>
            </w14:solidFill>
          </w14:textFill>
        </w:rPr>
        <w:t>.基础设施层</w:t>
      </w:r>
      <w:bookmarkEnd w:id="329"/>
      <w:bookmarkEnd w:id="330"/>
      <w:bookmarkEnd w:id="331"/>
      <w:bookmarkEnd w:id="332"/>
      <w:bookmarkEnd w:id="333"/>
      <w:bookmarkEnd w:id="334"/>
      <w:bookmarkEnd w:id="335"/>
      <w:bookmarkEnd w:id="336"/>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14:textFill>
            <w14:solidFill>
              <w14:schemeClr w14:val="tx1"/>
            </w14:solidFill>
          </w14:textFill>
        </w:rPr>
      </w:pPr>
      <w:r>
        <w:rPr>
          <w:rFonts w:hint="eastAsia" w:ascii="仿宋_GB2312" w:hAnsi="仿宋" w:eastAsia="仿宋_GB2312" w:cs="E-BX"/>
          <w:color w:val="000000" w:themeColor="text1"/>
          <w:kern w:val="0"/>
          <w:sz w:val="32"/>
          <w:szCs w:val="32"/>
          <w14:textFill>
            <w14:solidFill>
              <w14:schemeClr w14:val="tx1"/>
            </w14:solidFill>
          </w14:textFill>
        </w:rPr>
        <w:t>基础设施主要包括物联感知、基础网络、云平台。物联感知设施面向经开区管理者、企业和社会公众信息需要，采集城区鲜活状态信息。基础网络设施包括政务外网、5</w:t>
      </w:r>
      <w:r>
        <w:rPr>
          <w:rFonts w:ascii="仿宋_GB2312" w:hAnsi="仿宋" w:eastAsia="仿宋_GB2312" w:cs="E-BX"/>
          <w:color w:val="000000" w:themeColor="text1"/>
          <w:kern w:val="0"/>
          <w:sz w:val="32"/>
          <w:szCs w:val="32"/>
          <w14:textFill>
            <w14:solidFill>
              <w14:schemeClr w14:val="tx1"/>
            </w14:solidFill>
          </w14:textFill>
        </w:rPr>
        <w:t>G</w:t>
      </w:r>
      <w:r>
        <w:rPr>
          <w:rFonts w:hint="eastAsia" w:ascii="仿宋_GB2312" w:hAnsi="仿宋" w:eastAsia="仿宋_GB2312" w:cs="E-BX"/>
          <w:color w:val="000000" w:themeColor="text1"/>
          <w:kern w:val="0"/>
          <w:sz w:val="32"/>
          <w:szCs w:val="32"/>
          <w14:textFill>
            <w14:solidFill>
              <w14:schemeClr w14:val="tx1"/>
            </w14:solidFill>
          </w14:textFill>
        </w:rPr>
        <w:t>网络和光纤宽带网络，实现异构网络互联。经开区各级各部门新建及更新的业务系统依托市级统筹建设的电子政务云平台湛江节点进行建设，已有业务系统应逐步向云平台迁移，广东省政务云平台湛江节点为全区政务服务、产业发展、民生保障、城区治理的数字化应用提供云平台技术支撑。</w:t>
      </w:r>
    </w:p>
    <w:p>
      <w:pPr>
        <w:pStyle w:val="4"/>
        <w:keepNext w:val="0"/>
        <w:keepLines w:val="0"/>
        <w:spacing w:before="0" w:after="0" w:line="560" w:lineRule="exact"/>
        <w:ind w:left="567"/>
        <w:rPr>
          <w:rFonts w:ascii="仿宋_GB2312" w:hAnsi="楷体" w:eastAsia="仿宋_GB2312"/>
          <w:color w:val="000000" w:themeColor="text1"/>
          <w14:textFill>
            <w14:solidFill>
              <w14:schemeClr w14:val="tx1"/>
            </w14:solidFill>
          </w14:textFill>
        </w:rPr>
      </w:pPr>
      <w:bookmarkStart w:id="337" w:name="_Toc67470133"/>
      <w:bookmarkStart w:id="338" w:name="_Toc68615354"/>
      <w:bookmarkStart w:id="339" w:name="_Toc63751413"/>
      <w:bookmarkStart w:id="340" w:name="_Toc75790505"/>
      <w:bookmarkStart w:id="341" w:name="_Toc64873717"/>
      <w:bookmarkStart w:id="342" w:name="_Toc64863220"/>
      <w:bookmarkStart w:id="343" w:name="_Toc72936846"/>
      <w:bookmarkStart w:id="344" w:name="_Toc64866082"/>
      <w:r>
        <w:rPr>
          <w:rFonts w:ascii="仿宋_GB2312" w:hAnsi="楷体" w:eastAsia="仿宋_GB2312"/>
          <w:color w:val="000000" w:themeColor="text1"/>
          <w14:textFill>
            <w14:solidFill>
              <w14:schemeClr w14:val="tx1"/>
            </w14:solidFill>
          </w14:textFill>
        </w:rPr>
        <w:t>2</w:t>
      </w:r>
      <w:r>
        <w:rPr>
          <w:rFonts w:hint="eastAsia" w:ascii="仿宋_GB2312" w:hAnsi="楷体" w:eastAsia="仿宋_GB2312"/>
          <w:color w:val="000000" w:themeColor="text1"/>
          <w14:textFill>
            <w14:solidFill>
              <w14:schemeClr w14:val="tx1"/>
            </w14:solidFill>
          </w14:textFill>
        </w:rPr>
        <w:t>.数据资源层</w:t>
      </w:r>
      <w:bookmarkEnd w:id="337"/>
      <w:bookmarkEnd w:id="338"/>
      <w:bookmarkEnd w:id="339"/>
      <w:bookmarkEnd w:id="340"/>
      <w:bookmarkEnd w:id="341"/>
      <w:bookmarkEnd w:id="342"/>
      <w:bookmarkEnd w:id="343"/>
      <w:bookmarkEnd w:id="344"/>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14:textFill>
            <w14:solidFill>
              <w14:schemeClr w14:val="tx1"/>
            </w14:solidFill>
          </w14:textFill>
        </w:rPr>
      </w:pPr>
      <w:r>
        <w:rPr>
          <w:rFonts w:hint="eastAsia" w:ascii="仿宋_GB2312" w:hAnsi="仿宋" w:eastAsia="仿宋_GB2312" w:cs="E-BX"/>
          <w:color w:val="000000" w:themeColor="text1"/>
          <w:kern w:val="0"/>
          <w:sz w:val="32"/>
          <w:szCs w:val="32"/>
          <w14:textFill>
            <w14:solidFill>
              <w14:schemeClr w14:val="tx1"/>
            </w14:solidFill>
          </w14:textFill>
        </w:rPr>
        <w:t>数据资源库</w:t>
      </w:r>
      <w:r>
        <w:rPr>
          <w:rFonts w:ascii="仿宋_GB2312" w:hAnsi="仿宋" w:eastAsia="仿宋_GB2312" w:cs="E-BX"/>
          <w:color w:val="000000" w:themeColor="text1"/>
          <w:kern w:val="0"/>
          <w:sz w:val="32"/>
          <w:szCs w:val="32"/>
          <w14:textFill>
            <w14:solidFill>
              <w14:schemeClr w14:val="tx1"/>
            </w14:solidFill>
          </w14:textFill>
        </w:rPr>
        <w:t>包括</w:t>
      </w:r>
      <w:r>
        <w:rPr>
          <w:rFonts w:hint="eastAsia" w:ascii="仿宋_GB2312" w:hAnsi="仿宋" w:eastAsia="仿宋_GB2312" w:cs="E-BX"/>
          <w:color w:val="000000" w:themeColor="text1"/>
          <w:kern w:val="0"/>
          <w:sz w:val="32"/>
          <w:szCs w:val="32"/>
          <w14:textFill>
            <w14:solidFill>
              <w14:schemeClr w14:val="tx1"/>
            </w14:solidFill>
          </w14:textFill>
        </w:rPr>
        <w:t>基础库、专题库、主题库、政务信息资源目录和</w:t>
      </w:r>
      <w:r>
        <w:rPr>
          <w:rFonts w:ascii="仿宋_GB2312" w:hAnsi="仿宋" w:eastAsia="仿宋_GB2312" w:cs="E-BX"/>
          <w:color w:val="000000" w:themeColor="text1"/>
          <w:kern w:val="0"/>
          <w:sz w:val="32"/>
          <w:szCs w:val="32"/>
          <w14:textFill>
            <w14:solidFill>
              <w14:schemeClr w14:val="tx1"/>
            </w14:solidFill>
          </w14:textFill>
        </w:rPr>
        <w:t>社会数据资源</w:t>
      </w:r>
      <w:r>
        <w:rPr>
          <w:rFonts w:hint="eastAsia" w:ascii="仿宋_GB2312" w:hAnsi="仿宋" w:eastAsia="仿宋_GB2312" w:cs="E-BX"/>
          <w:color w:val="000000" w:themeColor="text1"/>
          <w:kern w:val="0"/>
          <w:sz w:val="32"/>
          <w:szCs w:val="32"/>
          <w14:textFill>
            <w14:solidFill>
              <w14:schemeClr w14:val="tx1"/>
            </w14:solidFill>
          </w14:textFill>
        </w:rPr>
        <w:t>。在省市政务大数据中心的统一架构下，配合省市级完善数据资源库，搭建经开区数据资源共享体系，加强数字决策分析能力，构建我区共建共享的数据资源体系，为“数字政府”建设提供强有力的数据支撑。</w:t>
      </w:r>
    </w:p>
    <w:p>
      <w:pPr>
        <w:pStyle w:val="4"/>
        <w:keepNext w:val="0"/>
        <w:keepLines w:val="0"/>
        <w:spacing w:before="0" w:after="0" w:line="560" w:lineRule="exact"/>
        <w:ind w:left="567"/>
        <w:rPr>
          <w:rFonts w:ascii="仿宋_GB2312" w:hAnsi="楷体" w:eastAsia="仿宋_GB2312"/>
          <w:color w:val="000000" w:themeColor="text1"/>
          <w14:textFill>
            <w14:solidFill>
              <w14:schemeClr w14:val="tx1"/>
            </w14:solidFill>
          </w14:textFill>
        </w:rPr>
      </w:pPr>
      <w:bookmarkStart w:id="345" w:name="_Toc63751414"/>
      <w:bookmarkStart w:id="346" w:name="_Toc72936847"/>
      <w:bookmarkStart w:id="347" w:name="_Toc68615355"/>
      <w:bookmarkStart w:id="348" w:name="_Toc75790506"/>
      <w:bookmarkStart w:id="349" w:name="_Toc64866083"/>
      <w:bookmarkStart w:id="350" w:name="_Toc64873718"/>
      <w:bookmarkStart w:id="351" w:name="_Toc64863221"/>
      <w:bookmarkStart w:id="352" w:name="_Toc67470134"/>
      <w:r>
        <w:rPr>
          <w:rFonts w:ascii="仿宋_GB2312" w:hAnsi="楷体" w:eastAsia="仿宋_GB2312"/>
          <w:color w:val="000000" w:themeColor="text1"/>
          <w14:textFill>
            <w14:solidFill>
              <w14:schemeClr w14:val="tx1"/>
            </w14:solidFill>
          </w14:textFill>
        </w:rPr>
        <w:t>3</w:t>
      </w:r>
      <w:r>
        <w:rPr>
          <w:rFonts w:hint="eastAsia" w:ascii="仿宋_GB2312" w:hAnsi="楷体" w:eastAsia="仿宋_GB2312"/>
          <w:color w:val="000000" w:themeColor="text1"/>
          <w14:textFill>
            <w14:solidFill>
              <w14:schemeClr w14:val="tx1"/>
            </w14:solidFill>
          </w14:textFill>
        </w:rPr>
        <w:t>.应用支撑层</w:t>
      </w:r>
      <w:bookmarkEnd w:id="345"/>
      <w:bookmarkEnd w:id="346"/>
      <w:bookmarkEnd w:id="347"/>
      <w:bookmarkEnd w:id="348"/>
      <w:bookmarkEnd w:id="349"/>
      <w:bookmarkEnd w:id="350"/>
      <w:bookmarkEnd w:id="351"/>
      <w:bookmarkEnd w:id="352"/>
    </w:p>
    <w:p>
      <w:pPr>
        <w:spacing w:line="317" w:lineRule="auto"/>
        <w:ind w:firstLine="641"/>
        <w:rPr>
          <w:rFonts w:ascii="仿宋_GB2312" w:eastAsia="仿宋_GB2312" w:cs="Times New Roman"/>
          <w:color w:val="000000" w:themeColor="text1"/>
          <w:sz w:val="32"/>
          <w:szCs w:val="24"/>
          <w14:textFill>
            <w14:solidFill>
              <w14:schemeClr w14:val="tx1"/>
            </w14:solidFill>
          </w14:textFill>
        </w:rPr>
      </w:pPr>
      <w:r>
        <w:rPr>
          <w:rFonts w:hint="eastAsia" w:ascii="仿宋_GB2312" w:hAnsi="仿宋" w:eastAsia="仿宋_GB2312" w:cs="E-BX"/>
          <w:color w:val="000000" w:themeColor="text1"/>
          <w:kern w:val="0"/>
          <w:sz w:val="32"/>
          <w:szCs w:val="32"/>
          <w14:textFill>
            <w14:solidFill>
              <w14:schemeClr w14:val="tx1"/>
            </w14:solidFill>
          </w14:textFill>
        </w:rPr>
        <w:t>公共支撑平台是为经开区各类业务应用提供支撑能力的平台，</w:t>
      </w:r>
      <w:r>
        <w:rPr>
          <w:rFonts w:hint="eastAsia" w:ascii="仿宋_GB2312" w:eastAsia="仿宋_GB2312" w:cs="Times New Roman"/>
          <w:color w:val="000000" w:themeColor="text1"/>
          <w:sz w:val="32"/>
          <w:szCs w:val="24"/>
          <w14:textFill>
            <w14:solidFill>
              <w14:schemeClr w14:val="tx1"/>
            </w14:solidFill>
          </w14:textFill>
        </w:rPr>
        <w:t>由全省市统建的</w:t>
      </w:r>
      <w:r>
        <w:rPr>
          <w:rFonts w:hint="eastAsia" w:ascii="仿宋_GB2312" w:hAnsi="仿宋" w:eastAsia="仿宋_GB2312" w:cs="E-BX"/>
          <w:color w:val="000000" w:themeColor="text1"/>
          <w:kern w:val="0"/>
          <w:sz w:val="32"/>
          <w:szCs w:val="32"/>
          <w14:textFill>
            <w14:solidFill>
              <w14:schemeClr w14:val="tx1"/>
            </w14:solidFill>
          </w14:textFill>
        </w:rPr>
        <w:t>公共支撑平台</w:t>
      </w:r>
      <w:r>
        <w:rPr>
          <w:rFonts w:hint="eastAsia" w:ascii="仿宋_GB2312" w:eastAsia="仿宋_GB2312" w:cs="Times New Roman"/>
          <w:color w:val="000000" w:themeColor="text1"/>
          <w:sz w:val="32"/>
          <w:szCs w:val="24"/>
          <w14:textFill>
            <w14:solidFill>
              <w14:schemeClr w14:val="tx1"/>
            </w14:solidFill>
          </w14:textFill>
        </w:rPr>
        <w:t>及经开区自建的</w:t>
      </w:r>
      <w:r>
        <w:rPr>
          <w:rFonts w:hint="eastAsia" w:ascii="仿宋_GB2312" w:hAnsi="仿宋" w:eastAsia="仿宋_GB2312" w:cs="E-BX"/>
          <w:color w:val="000000" w:themeColor="text1"/>
          <w:kern w:val="0"/>
          <w:sz w:val="32"/>
          <w:szCs w:val="32"/>
          <w14:textFill>
            <w14:solidFill>
              <w14:schemeClr w14:val="tx1"/>
            </w14:solidFill>
          </w14:textFill>
        </w:rPr>
        <w:t>通用平台</w:t>
      </w:r>
      <w:r>
        <w:rPr>
          <w:rFonts w:hint="eastAsia" w:ascii="仿宋_GB2312" w:eastAsia="仿宋_GB2312" w:cs="Times New Roman"/>
          <w:color w:val="000000" w:themeColor="text1"/>
          <w:sz w:val="32"/>
          <w:szCs w:val="24"/>
          <w14:textFill>
            <w14:solidFill>
              <w14:schemeClr w14:val="tx1"/>
            </w14:solidFill>
          </w14:textFill>
        </w:rPr>
        <w:t>构成</w:t>
      </w:r>
      <w:r>
        <w:rPr>
          <w:rFonts w:hint="eastAsia" w:ascii="仿宋_GB2312" w:hAnsi="仿宋" w:eastAsia="仿宋_GB2312" w:cs="E-BX"/>
          <w:color w:val="000000" w:themeColor="text1"/>
          <w:kern w:val="0"/>
          <w:sz w:val="32"/>
          <w:szCs w:val="32"/>
          <w14:textFill>
            <w14:solidFill>
              <w14:schemeClr w14:val="tx1"/>
            </w14:solidFill>
          </w14:textFill>
        </w:rPr>
        <w:t>。</w:t>
      </w:r>
      <w:r>
        <w:rPr>
          <w:rFonts w:hint="eastAsia" w:ascii="仿宋_GB2312" w:eastAsia="仿宋_GB2312" w:cs="Times New Roman"/>
          <w:color w:val="000000" w:themeColor="text1"/>
          <w:sz w:val="32"/>
          <w:szCs w:val="24"/>
          <w14:textFill>
            <w14:solidFill>
              <w14:schemeClr w14:val="tx1"/>
            </w14:solidFill>
          </w14:textFill>
        </w:rPr>
        <w:t>省市统建的</w:t>
      </w:r>
      <w:r>
        <w:rPr>
          <w:rFonts w:hint="eastAsia" w:ascii="仿宋_GB2312" w:hAnsi="仿宋" w:eastAsia="仿宋_GB2312" w:cs="E-BX"/>
          <w:color w:val="000000" w:themeColor="text1"/>
          <w:kern w:val="0"/>
          <w:sz w:val="32"/>
          <w:szCs w:val="32"/>
          <w14:textFill>
            <w14:solidFill>
              <w14:schemeClr w14:val="tx1"/>
            </w14:solidFill>
          </w14:textFill>
        </w:rPr>
        <w:t>公共支撑平台包括统一身份认证平台、电子印章系统、电子签名系统、可信电子证照系统、社会信用公共平台、地理信息公共平台、非税支付平台和智能客服平台。</w:t>
      </w:r>
      <w:r>
        <w:rPr>
          <w:rFonts w:hint="eastAsia" w:ascii="仿宋_GB2312" w:eastAsia="仿宋_GB2312" w:cs="Times New Roman"/>
          <w:color w:val="000000" w:themeColor="text1"/>
          <w:sz w:val="32"/>
          <w:szCs w:val="24"/>
          <w14:textFill>
            <w14:solidFill>
              <w14:schemeClr w14:val="tx1"/>
            </w14:solidFill>
          </w14:textFill>
        </w:rPr>
        <w:t>自建</w:t>
      </w:r>
      <w:r>
        <w:rPr>
          <w:rFonts w:hint="eastAsia" w:ascii="仿宋_GB2312" w:hAnsi="仿宋" w:eastAsia="仿宋_GB2312" w:cs="E-BX"/>
          <w:color w:val="000000" w:themeColor="text1"/>
          <w:kern w:val="0"/>
          <w:sz w:val="32"/>
          <w:szCs w:val="32"/>
          <w14:textFill>
            <w14:solidFill>
              <w14:schemeClr w14:val="tx1"/>
            </w14:solidFill>
          </w14:textFill>
        </w:rPr>
        <w:t>通用平台</w:t>
      </w:r>
      <w:r>
        <w:rPr>
          <w:rFonts w:hint="eastAsia" w:ascii="仿宋_GB2312" w:eastAsia="仿宋_GB2312" w:cs="Times New Roman"/>
          <w:color w:val="000000" w:themeColor="text1"/>
          <w:sz w:val="32"/>
          <w:szCs w:val="24"/>
          <w14:textFill>
            <w14:solidFill>
              <w14:schemeClr w14:val="tx1"/>
            </w14:solidFill>
          </w14:textFill>
        </w:rPr>
        <w:t>包括</w:t>
      </w:r>
      <w:r>
        <w:rPr>
          <w:rFonts w:hint="eastAsia" w:ascii="仿宋_GB2312" w:hAnsi="仿宋" w:eastAsia="仿宋_GB2312" w:cs="E-BX"/>
          <w:color w:val="000000" w:themeColor="text1"/>
          <w:kern w:val="0"/>
          <w:sz w:val="32"/>
          <w:szCs w:val="32"/>
          <w14:textFill>
            <w14:solidFill>
              <w14:schemeClr w14:val="tx1"/>
            </w14:solidFill>
          </w14:textFill>
        </w:rPr>
        <w:t>物联网信息管理平台和视频信息管理平台等通用平台</w:t>
      </w:r>
      <w:r>
        <w:rPr>
          <w:rFonts w:hint="eastAsia" w:ascii="仿宋_GB2312" w:eastAsia="仿宋_GB2312" w:cs="Times New Roman"/>
          <w:color w:val="000000" w:themeColor="text1"/>
          <w:sz w:val="32"/>
          <w:szCs w:val="24"/>
          <w14:textFill>
            <w14:solidFill>
              <w14:schemeClr w14:val="tx1"/>
            </w14:solidFill>
          </w14:textFill>
        </w:rPr>
        <w:t>，提高本地区政府信息系统集约化建设水平</w:t>
      </w:r>
      <w:r>
        <w:rPr>
          <w:rFonts w:hint="eastAsia" w:ascii="仿宋_GB2312" w:hAnsi="仿宋" w:eastAsia="仿宋_GB2312" w:cs="E-BX"/>
          <w:color w:val="000000" w:themeColor="text1"/>
          <w:kern w:val="0"/>
          <w:sz w:val="32"/>
          <w:szCs w:val="32"/>
          <w14:textFill>
            <w14:solidFill>
              <w14:schemeClr w14:val="tx1"/>
            </w14:solidFill>
          </w14:textFill>
        </w:rPr>
        <w:t>。</w:t>
      </w:r>
    </w:p>
    <w:p>
      <w:pPr>
        <w:pStyle w:val="4"/>
        <w:keepNext w:val="0"/>
        <w:keepLines w:val="0"/>
        <w:spacing w:before="0" w:after="0" w:line="560" w:lineRule="exact"/>
        <w:ind w:left="567"/>
        <w:rPr>
          <w:rFonts w:ascii="仿宋_GB2312" w:hAnsi="楷体" w:eastAsia="仿宋_GB2312"/>
          <w:color w:val="000000" w:themeColor="text1"/>
          <w14:textFill>
            <w14:solidFill>
              <w14:schemeClr w14:val="tx1"/>
            </w14:solidFill>
          </w14:textFill>
        </w:rPr>
      </w:pPr>
      <w:bookmarkStart w:id="353" w:name="_Toc67470135"/>
      <w:bookmarkStart w:id="354" w:name="_Toc64863222"/>
      <w:bookmarkStart w:id="355" w:name="_Toc63751415"/>
      <w:bookmarkStart w:id="356" w:name="_Toc64866084"/>
      <w:bookmarkStart w:id="357" w:name="_Toc68615356"/>
      <w:bookmarkStart w:id="358" w:name="_Toc72936848"/>
      <w:bookmarkStart w:id="359" w:name="_Toc75790507"/>
      <w:bookmarkStart w:id="360" w:name="_Toc64873719"/>
      <w:r>
        <w:rPr>
          <w:rFonts w:ascii="仿宋_GB2312" w:hAnsi="楷体" w:eastAsia="仿宋_GB2312"/>
          <w:color w:val="000000" w:themeColor="text1"/>
          <w14:textFill>
            <w14:solidFill>
              <w14:schemeClr w14:val="tx1"/>
            </w14:solidFill>
          </w14:textFill>
        </w:rPr>
        <w:t>4</w:t>
      </w:r>
      <w:r>
        <w:rPr>
          <w:rFonts w:hint="eastAsia" w:ascii="仿宋_GB2312" w:hAnsi="楷体" w:eastAsia="仿宋_GB2312"/>
          <w:color w:val="000000" w:themeColor="text1"/>
          <w14:textFill>
            <w14:solidFill>
              <w14:schemeClr w14:val="tx1"/>
            </w14:solidFill>
          </w14:textFill>
        </w:rPr>
        <w:t>.业务应用层</w:t>
      </w:r>
      <w:bookmarkEnd w:id="317"/>
      <w:bookmarkEnd w:id="318"/>
      <w:bookmarkEnd w:id="319"/>
      <w:bookmarkEnd w:id="320"/>
      <w:bookmarkEnd w:id="321"/>
      <w:bookmarkEnd w:id="322"/>
      <w:bookmarkEnd w:id="323"/>
      <w:bookmarkEnd w:id="324"/>
      <w:bookmarkEnd w:id="325"/>
      <w:bookmarkEnd w:id="326"/>
      <w:bookmarkEnd w:id="327"/>
      <w:bookmarkEnd w:id="328"/>
      <w:bookmarkEnd w:id="353"/>
      <w:bookmarkEnd w:id="354"/>
      <w:bookmarkEnd w:id="355"/>
      <w:bookmarkEnd w:id="356"/>
      <w:bookmarkEnd w:id="357"/>
      <w:bookmarkEnd w:id="358"/>
      <w:bookmarkEnd w:id="359"/>
      <w:bookmarkEnd w:id="360"/>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14:textFill>
            <w14:solidFill>
              <w14:schemeClr w14:val="tx1"/>
            </w14:solidFill>
          </w14:textFill>
        </w:rPr>
      </w:pPr>
      <w:r>
        <w:rPr>
          <w:rFonts w:hint="eastAsia" w:ascii="仿宋_GB2312" w:hAnsi="仿宋" w:eastAsia="仿宋_GB2312" w:cs="E-BX"/>
          <w:color w:val="000000" w:themeColor="text1"/>
          <w:kern w:val="0"/>
          <w:sz w:val="32"/>
          <w:szCs w:val="32"/>
          <w14:textFill>
            <w14:solidFill>
              <w14:schemeClr w14:val="tx1"/>
            </w14:solidFill>
          </w14:textFill>
        </w:rPr>
        <w:t>对应业务架构的规划，结合我区本地特色，</w:t>
      </w:r>
      <w:bookmarkStart w:id="361" w:name="page18"/>
      <w:bookmarkEnd w:id="361"/>
      <w:r>
        <w:rPr>
          <w:rFonts w:hint="eastAsia" w:ascii="仿宋_GB2312" w:hAnsi="仿宋" w:eastAsia="仿宋_GB2312" w:cs="E-BX"/>
          <w:color w:val="000000" w:themeColor="text1"/>
          <w:kern w:val="0"/>
          <w:sz w:val="32"/>
          <w:szCs w:val="32"/>
          <w14:textFill>
            <w14:solidFill>
              <w14:schemeClr w14:val="tx1"/>
            </w14:solidFill>
          </w14:textFill>
        </w:rPr>
        <w:t>聚焦政务服务、产业发展、民生保障和城区治理等四大领域的数字应用，以经开区数据资源体系和政务云平台为基础，统筹、整合各专业应用系统和数据，加快实施各领域内的亮点和重点工程，从而有效推动各领域行业的发展。</w:t>
      </w:r>
    </w:p>
    <w:p>
      <w:pPr>
        <w:pStyle w:val="4"/>
        <w:keepNext w:val="0"/>
        <w:keepLines w:val="0"/>
        <w:spacing w:before="0" w:after="0" w:line="560" w:lineRule="exact"/>
        <w:ind w:left="567"/>
        <w:rPr>
          <w:rFonts w:ascii="仿宋_GB2312" w:hAnsi="楷体" w:eastAsia="仿宋_GB2312"/>
          <w:color w:val="000000" w:themeColor="text1"/>
          <w14:textFill>
            <w14:solidFill>
              <w14:schemeClr w14:val="tx1"/>
            </w14:solidFill>
          </w14:textFill>
        </w:rPr>
      </w:pPr>
      <w:bookmarkStart w:id="362" w:name="_Toc57015344"/>
      <w:bookmarkStart w:id="363" w:name="_Toc57598704"/>
      <w:bookmarkStart w:id="364" w:name="_Toc59121364"/>
      <w:bookmarkStart w:id="365" w:name="_Toc57929331"/>
      <w:bookmarkStart w:id="366" w:name="_Toc63303004"/>
      <w:bookmarkStart w:id="367" w:name="_Toc58933693"/>
      <w:bookmarkStart w:id="368" w:name="_Toc57017175"/>
      <w:bookmarkStart w:id="369" w:name="_Toc56903789"/>
      <w:bookmarkStart w:id="370" w:name="_Toc58569960"/>
      <w:bookmarkStart w:id="371" w:name="_Toc57015451"/>
      <w:bookmarkStart w:id="372" w:name="_Toc58916858"/>
      <w:bookmarkStart w:id="373" w:name="_Toc72936849"/>
      <w:bookmarkStart w:id="374" w:name="_Toc63751416"/>
      <w:bookmarkStart w:id="375" w:name="_Toc56410739"/>
      <w:bookmarkStart w:id="376" w:name="_Toc64863223"/>
      <w:bookmarkStart w:id="377" w:name="_Toc64873720"/>
      <w:bookmarkStart w:id="378" w:name="_Toc64866085"/>
      <w:bookmarkStart w:id="379" w:name="_Toc67470136"/>
      <w:bookmarkStart w:id="380" w:name="_Toc68615357"/>
      <w:bookmarkStart w:id="381" w:name="_Toc75790508"/>
      <w:r>
        <w:rPr>
          <w:rFonts w:ascii="仿宋_GB2312" w:hAnsi="楷体" w:eastAsia="仿宋_GB2312"/>
          <w:color w:val="000000" w:themeColor="text1"/>
          <w14:textFill>
            <w14:solidFill>
              <w14:schemeClr w14:val="tx1"/>
            </w14:solidFill>
          </w14:textFill>
        </w:rPr>
        <w:t>5</w:t>
      </w:r>
      <w:r>
        <w:rPr>
          <w:rFonts w:hint="eastAsia" w:ascii="仿宋_GB2312" w:hAnsi="楷体" w:eastAsia="仿宋_GB2312"/>
          <w:color w:val="000000" w:themeColor="text1"/>
          <w14:textFill>
            <w14:solidFill>
              <w14:schemeClr w14:val="tx1"/>
            </w14:solidFill>
          </w14:textFill>
        </w:rPr>
        <w:t>.标准体系</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14:textFill>
            <w14:solidFill>
              <w14:schemeClr w14:val="tx1"/>
            </w14:solidFill>
          </w14:textFill>
        </w:rPr>
      </w:pPr>
      <w:r>
        <w:rPr>
          <w:rFonts w:hint="eastAsia" w:ascii="仿宋_GB2312" w:hAnsi="仿宋" w:eastAsia="仿宋_GB2312" w:cs="E-BX"/>
          <w:color w:val="000000" w:themeColor="text1"/>
          <w:kern w:val="0"/>
          <w:sz w:val="32"/>
          <w:szCs w:val="32"/>
          <w14:textFill>
            <w14:solidFill>
              <w14:schemeClr w14:val="tx1"/>
            </w14:solidFill>
          </w14:textFill>
        </w:rPr>
        <w:t>参照国家、省、市政务信息化建设的相关标准，开展本地的政务信息化规范建设运营工作，实现标准统一、互联互通、数据共享、业务协同。</w:t>
      </w:r>
      <w:bookmarkStart w:id="382" w:name="page19"/>
      <w:bookmarkEnd w:id="382"/>
    </w:p>
    <w:p>
      <w:pPr>
        <w:pStyle w:val="4"/>
        <w:keepNext w:val="0"/>
        <w:keepLines w:val="0"/>
        <w:spacing w:before="0" w:after="0" w:line="560" w:lineRule="exact"/>
        <w:ind w:left="567"/>
        <w:rPr>
          <w:rFonts w:ascii="仿宋_GB2312" w:hAnsi="楷体" w:eastAsia="仿宋_GB2312"/>
          <w:color w:val="000000" w:themeColor="text1"/>
          <w14:textFill>
            <w14:solidFill>
              <w14:schemeClr w14:val="tx1"/>
            </w14:solidFill>
          </w14:textFill>
        </w:rPr>
      </w:pPr>
      <w:bookmarkStart w:id="383" w:name="_Toc64873721"/>
      <w:bookmarkStart w:id="384" w:name="_Toc59121365"/>
      <w:bookmarkStart w:id="385" w:name="_Toc57929330"/>
      <w:bookmarkStart w:id="386" w:name="_Toc57017174"/>
      <w:bookmarkStart w:id="387" w:name="_Toc57598703"/>
      <w:bookmarkStart w:id="388" w:name="_Toc63303005"/>
      <w:bookmarkStart w:id="389" w:name="_Toc56410738"/>
      <w:bookmarkStart w:id="390" w:name="_Toc57015343"/>
      <w:bookmarkStart w:id="391" w:name="_Toc64863224"/>
      <w:bookmarkStart w:id="392" w:name="_Toc67470137"/>
      <w:bookmarkStart w:id="393" w:name="_Toc63751417"/>
      <w:bookmarkStart w:id="394" w:name="_Toc68615358"/>
      <w:bookmarkStart w:id="395" w:name="_Toc72936850"/>
      <w:bookmarkStart w:id="396" w:name="_Toc58569959"/>
      <w:bookmarkStart w:id="397" w:name="_Toc57015450"/>
      <w:bookmarkStart w:id="398" w:name="_Toc58916857"/>
      <w:bookmarkStart w:id="399" w:name="_Toc56903788"/>
      <w:bookmarkStart w:id="400" w:name="_Toc58933692"/>
      <w:bookmarkStart w:id="401" w:name="_Toc64866086"/>
      <w:bookmarkStart w:id="402" w:name="_Toc75790509"/>
      <w:r>
        <w:rPr>
          <w:rFonts w:ascii="仿宋_GB2312" w:hAnsi="楷体" w:eastAsia="仿宋_GB2312"/>
          <w:color w:val="000000" w:themeColor="text1"/>
          <w14:textFill>
            <w14:solidFill>
              <w14:schemeClr w14:val="tx1"/>
            </w14:solidFill>
          </w14:textFill>
        </w:rPr>
        <w:t>6</w:t>
      </w:r>
      <w:r>
        <w:rPr>
          <w:rFonts w:hint="eastAsia" w:ascii="仿宋_GB2312" w:hAnsi="楷体" w:eastAsia="仿宋_GB2312"/>
          <w:color w:val="000000" w:themeColor="text1"/>
          <w14:textFill>
            <w14:solidFill>
              <w14:schemeClr w14:val="tx1"/>
            </w14:solidFill>
          </w14:textFill>
        </w:rPr>
        <w:t>.信息安全体系</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14:textFill>
            <w14:solidFill>
              <w14:schemeClr w14:val="tx1"/>
            </w14:solidFill>
          </w14:textFill>
        </w:rPr>
      </w:pPr>
      <w:r>
        <w:rPr>
          <w:rFonts w:hint="eastAsia" w:ascii="仿宋_GB2312" w:hAnsi="仿宋" w:eastAsia="仿宋_GB2312" w:cs="E-BX"/>
          <w:color w:val="000000" w:themeColor="text1"/>
          <w:kern w:val="0"/>
          <w:sz w:val="32"/>
          <w:szCs w:val="32"/>
          <w14:textFill>
            <w14:solidFill>
              <w14:schemeClr w14:val="tx1"/>
            </w14:solidFill>
          </w14:textFill>
        </w:rPr>
        <w:t>参照省、市安全防护体系，全方位、多层次、一致性构建“数字政府”安全防护体系，加强云平台、网络、大数据、业务应用等的安全防护能力，切实保障“数字政府”信息基础设施、平台和应用系统平稳高效安全运行。</w:t>
      </w:r>
    </w:p>
    <w:p>
      <w:pPr>
        <w:pStyle w:val="4"/>
        <w:keepNext w:val="0"/>
        <w:keepLines w:val="0"/>
        <w:spacing w:before="0" w:after="0" w:line="560" w:lineRule="exact"/>
        <w:ind w:left="567"/>
        <w:rPr>
          <w:rFonts w:ascii="仿宋_GB2312" w:hAnsi="楷体" w:eastAsia="仿宋_GB2312"/>
          <w:color w:val="000000" w:themeColor="text1"/>
          <w14:textFill>
            <w14:solidFill>
              <w14:schemeClr w14:val="tx1"/>
            </w14:solidFill>
          </w14:textFill>
        </w:rPr>
      </w:pPr>
      <w:bookmarkStart w:id="403" w:name="_Toc57015452"/>
      <w:bookmarkStart w:id="404" w:name="_Toc56903790"/>
      <w:bookmarkStart w:id="405" w:name="_Toc63751418"/>
      <w:bookmarkStart w:id="406" w:name="_Toc57015345"/>
      <w:bookmarkStart w:id="407" w:name="_Toc64866087"/>
      <w:bookmarkStart w:id="408" w:name="_Toc64863225"/>
      <w:bookmarkStart w:id="409" w:name="_Toc64873722"/>
      <w:bookmarkStart w:id="410" w:name="_Toc58916859"/>
      <w:bookmarkStart w:id="411" w:name="_Toc57017176"/>
      <w:bookmarkStart w:id="412" w:name="_Toc57929332"/>
      <w:bookmarkStart w:id="413" w:name="_Toc56410740"/>
      <w:bookmarkStart w:id="414" w:name="_Toc58933694"/>
      <w:bookmarkStart w:id="415" w:name="_Toc68615359"/>
      <w:bookmarkStart w:id="416" w:name="_Toc72936851"/>
      <w:bookmarkStart w:id="417" w:name="_Toc59121366"/>
      <w:bookmarkStart w:id="418" w:name="_Toc57598705"/>
      <w:bookmarkStart w:id="419" w:name="_Toc58569961"/>
      <w:bookmarkStart w:id="420" w:name="_Toc67470138"/>
      <w:bookmarkStart w:id="421" w:name="_Toc63303006"/>
      <w:bookmarkStart w:id="422" w:name="_Toc75790510"/>
      <w:r>
        <w:rPr>
          <w:rFonts w:hint="eastAsia" w:ascii="仿宋_GB2312" w:hAnsi="楷体" w:eastAsia="仿宋_GB2312"/>
          <w:color w:val="000000" w:themeColor="text1"/>
          <w14:textFill>
            <w14:solidFill>
              <w14:schemeClr w14:val="tx1"/>
            </w14:solidFill>
          </w14:textFill>
        </w:rPr>
        <w:t>7.运行管理体系</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color w:val="000000" w:themeColor="text1"/>
          <w:kern w:val="0"/>
          <w:sz w:val="32"/>
          <w:szCs w:val="32"/>
          <w14:textFill>
            <w14:solidFill>
              <w14:schemeClr w14:val="tx1"/>
            </w14:solidFill>
          </w14:textFill>
        </w:rPr>
        <w:t>完善对信息基础设施、平台和应用系统运行维护以及相关的服务流程管理、维护服务评价，加强系统建设和应用的绩效考核、投资效益评估、运营改善等，形成分级管理、责任</w:t>
      </w:r>
      <w:r>
        <w:rPr>
          <w:rFonts w:hint="eastAsia" w:ascii="仿宋_GB2312" w:hAnsi="仿宋" w:eastAsia="仿宋_GB2312" w:cs="E-BX"/>
          <w:color w:val="000000" w:themeColor="text1"/>
          <w:kern w:val="0"/>
          <w:sz w:val="32"/>
          <w:szCs w:val="32"/>
          <w:highlight w:val="none"/>
          <w14:textFill>
            <w14:solidFill>
              <w14:schemeClr w14:val="tx1"/>
            </w14:solidFill>
          </w14:textFill>
        </w:rPr>
        <w:t>明确、保障有力的“数字政府”运行管理体系。</w:t>
      </w:r>
    </w:p>
    <w:p>
      <w:pPr>
        <w:widowControl/>
        <w:spacing w:line="560" w:lineRule="exact"/>
        <w:ind w:firstLine="640" w:firstLineChars="200"/>
        <w:jc w:val="left"/>
        <w:outlineLvl w:val="1"/>
        <w:rPr>
          <w:rFonts w:ascii="楷体_GB2312" w:hAnsi="黑体" w:eastAsia="楷体_GB2312" w:cs="仿宋_GB2312"/>
          <w:color w:val="000000" w:themeColor="text1"/>
          <w:kern w:val="0"/>
          <w:sz w:val="32"/>
          <w:szCs w:val="32"/>
          <w:highlight w:val="none"/>
          <w14:textFill>
            <w14:solidFill>
              <w14:schemeClr w14:val="tx1"/>
            </w14:solidFill>
          </w14:textFill>
        </w:rPr>
      </w:pPr>
      <w:bookmarkStart w:id="423" w:name="_Toc75790511"/>
      <w:r>
        <w:rPr>
          <w:rFonts w:hint="eastAsia" w:ascii="楷体_GB2312" w:hAnsi="黑体" w:eastAsia="楷体_GB2312" w:cs="仿宋_GB2312"/>
          <w:color w:val="000000" w:themeColor="text1"/>
          <w:kern w:val="0"/>
          <w:sz w:val="32"/>
          <w:szCs w:val="32"/>
          <w:highlight w:val="none"/>
          <w14:textFill>
            <w14:solidFill>
              <w14:schemeClr w14:val="tx1"/>
            </w14:solidFill>
          </w14:textFill>
        </w:rPr>
        <w:t>（五）“一网统管”部署架构</w:t>
      </w:r>
      <w:bookmarkEnd w:id="423"/>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color w:val="000000" w:themeColor="text1"/>
          <w:kern w:val="0"/>
          <w:sz w:val="32"/>
          <w:szCs w:val="32"/>
          <w:highlight w:val="none"/>
          <w14:textFill>
            <w14:solidFill>
              <w14:schemeClr w14:val="tx1"/>
            </w14:solidFill>
          </w14:textFill>
        </w:rPr>
        <w:t>构建以经开区“数智大脑”为中心，上接市级“一网统管”基础平台、横连区内部门、下通各个镇街，向外采集事件来源、向内获得数据支撑的“一网统管”部署架构，实现事件的统一监控管理，应用系统的互联互通，以及数据资源的共享。</w:t>
      </w:r>
    </w:p>
    <w:p>
      <w:pPr>
        <w:pStyle w:val="60"/>
        <w:ind w:right="320" w:firstLine="0" w:firstLineChars="0"/>
        <w:jc w:val="center"/>
        <w:rPr>
          <w:rFonts w:ascii="仿宋" w:hAnsi="仿宋" w:eastAsia="仿宋_GB2312"/>
          <w:color w:val="000000" w:themeColor="text1"/>
          <w:sz w:val="28"/>
          <w:highlight w:val="none"/>
          <w14:textFill>
            <w14:solidFill>
              <w14:schemeClr w14:val="tx1"/>
            </w14:solidFill>
          </w14:textFill>
        </w:rPr>
      </w:pPr>
      <w:r>
        <w:rPr>
          <w:highlight w:val="yellow"/>
        </w:rPr>
        <w:drawing>
          <wp:inline distT="0" distB="0" distL="0" distR="0">
            <wp:extent cx="5194300" cy="6075045"/>
            <wp:effectExtent l="0" t="0" r="6350" b="1905"/>
            <wp:docPr id="3"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10;&#10;描述已自动生成"/>
                    <pic:cNvPicPr>
                      <a:picLocks noChangeAspect="1"/>
                    </pic:cNvPicPr>
                  </pic:nvPicPr>
                  <pic:blipFill>
                    <a:blip r:embed="rId11"/>
                    <a:stretch>
                      <a:fillRect/>
                    </a:stretch>
                  </pic:blipFill>
                  <pic:spPr>
                    <a:xfrm>
                      <a:off x="0" y="0"/>
                      <a:ext cx="5194300" cy="6075045"/>
                    </a:xfrm>
                    <a:prstGeom prst="rect">
                      <a:avLst/>
                    </a:prstGeom>
                  </pic:spPr>
                </pic:pic>
              </a:graphicData>
            </a:graphic>
          </wp:inline>
        </w:drawing>
      </w:r>
      <w:r>
        <w:rPr>
          <w:highlight w:val="none"/>
        </w:rPr>
        <w:t xml:space="preserve"> </w:t>
      </w:r>
      <w:r>
        <w:rPr>
          <w:rFonts w:hint="eastAsia" w:ascii="黑体" w:hAnsi="黑体" w:eastAsia="黑体" w:cs="黑体"/>
          <w:color w:val="000000" w:themeColor="text1"/>
          <w:sz w:val="24"/>
          <w:szCs w:val="24"/>
          <w:highlight w:val="none"/>
          <w14:textFill>
            <w14:solidFill>
              <w14:schemeClr w14:val="tx1"/>
            </w14:solidFill>
          </w14:textFill>
        </w:rPr>
        <w:t>图</w:t>
      </w:r>
      <w:r>
        <w:rPr>
          <w:rFonts w:ascii="黑体" w:hAnsi="黑体" w:eastAsia="黑体" w:cs="黑体"/>
          <w:color w:val="000000" w:themeColor="text1"/>
          <w:sz w:val="24"/>
          <w:szCs w:val="24"/>
          <w:highlight w:val="none"/>
          <w14:textFill>
            <w14:solidFill>
              <w14:schemeClr w14:val="tx1"/>
            </w14:solidFill>
          </w14:textFill>
        </w:rPr>
        <w:t xml:space="preserve">5 </w:t>
      </w:r>
      <w:r>
        <w:rPr>
          <w:rFonts w:hint="eastAsia" w:ascii="黑体" w:hAnsi="黑体" w:eastAsia="黑体" w:cs="黑体"/>
          <w:color w:val="000000" w:themeColor="text1"/>
          <w:sz w:val="24"/>
          <w:szCs w:val="24"/>
          <w:highlight w:val="none"/>
          <w14:textFill>
            <w14:solidFill>
              <w14:schemeClr w14:val="tx1"/>
            </w14:solidFill>
          </w14:textFill>
        </w:rPr>
        <w:t>经开区“一网统管”部署架构</w:t>
      </w:r>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color w:val="000000" w:themeColor="text1"/>
          <w:kern w:val="0"/>
          <w:sz w:val="32"/>
          <w:szCs w:val="32"/>
          <w:highlight w:val="none"/>
          <w14:textFill>
            <w14:solidFill>
              <w14:schemeClr w14:val="tx1"/>
            </w14:solidFill>
          </w14:textFill>
        </w:rPr>
        <w:t>经开区“数智大脑”通过电子政务外网，对接市级智慧城市综合运行管理平台，实现与市级平台的协同联动；通过电子政务外网、业务专网以及经开区综合运行管理中心，连通各个经开区职能部门指挥联动中心和街道（镇）指挥联动中心，形成信息、指令传输通道。</w:t>
      </w:r>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color w:val="000000" w:themeColor="text1"/>
          <w:kern w:val="0"/>
          <w:sz w:val="32"/>
          <w:szCs w:val="32"/>
          <w:highlight w:val="none"/>
          <w14:textFill>
            <w14:solidFill>
              <w14:schemeClr w14:val="tx1"/>
            </w14:solidFill>
          </w14:textFill>
        </w:rPr>
        <w:t>向外采集事件来源，向内获得数据支撑。经开区“数智大脑”作为经开区综合运行管理的中心，通过采集</w:t>
      </w:r>
      <w:r>
        <w:rPr>
          <w:rFonts w:ascii="仿宋_GB2312" w:hAnsi="仿宋" w:eastAsia="仿宋_GB2312" w:cs="E-BX"/>
          <w:color w:val="000000" w:themeColor="text1"/>
          <w:kern w:val="0"/>
          <w:sz w:val="32"/>
          <w:szCs w:val="32"/>
          <w:highlight w:val="none"/>
          <w14:textFill>
            <w14:solidFill>
              <w14:schemeClr w14:val="tx1"/>
            </w14:solidFill>
          </w14:textFill>
        </w:rPr>
        <w:t>12345热线、</w:t>
      </w:r>
      <w:r>
        <w:rPr>
          <w:rFonts w:hint="eastAsia" w:ascii="仿宋_GB2312" w:hAnsi="仿宋" w:eastAsia="仿宋_GB2312" w:cs="E-BX"/>
          <w:color w:val="000000" w:themeColor="text1"/>
          <w:kern w:val="0"/>
          <w:sz w:val="32"/>
          <w:szCs w:val="32"/>
          <w:highlight w:val="none"/>
          <w14:textFill>
            <w14:solidFill>
              <w14:schemeClr w14:val="tx1"/>
            </w14:solidFill>
          </w14:textFill>
        </w:rPr>
        <w:t>粤省事、粤商通等区外系统，以及湛江经济技术开发区门户网站、广东政务服务网湛江经开区、湛江市数字城管系统经开区子平台等区内自建系统的事件、信息，处理后经原路径反馈结果，实现事件、信息的闭环处理；通过电子政务外网实现与经开区数据资源体系对接，获得数据查询、数据分析、信息检索等方式的数据支撑。</w:t>
      </w:r>
    </w:p>
    <w:p>
      <w:pPr>
        <w:pStyle w:val="2"/>
        <w:keepNext/>
        <w:keepLines/>
        <w:widowControl w:val="0"/>
        <w:spacing w:before="0" w:beforeAutospacing="0" w:after="0" w:afterAutospacing="0" w:line="579" w:lineRule="exact"/>
        <w:ind w:firstLine="640" w:firstLineChars="200"/>
        <w:jc w:val="both"/>
        <w:rPr>
          <w:rFonts w:ascii="Times New Roman" w:hAnsi="黑体" w:eastAsia="黑体" w:cs="Times New Roman"/>
          <w:b w:val="0"/>
          <w:color w:val="000000" w:themeColor="text1"/>
          <w:kern w:val="44"/>
          <w:sz w:val="32"/>
          <w:szCs w:val="32"/>
          <w:highlight w:val="none"/>
          <w:lang w:val="zh-CN"/>
          <w14:textFill>
            <w14:solidFill>
              <w14:schemeClr w14:val="tx1"/>
            </w14:solidFill>
          </w14:textFill>
        </w:rPr>
      </w:pPr>
      <w:bookmarkStart w:id="424" w:name="_Toc75790512"/>
      <w:r>
        <w:rPr>
          <w:rFonts w:hint="eastAsia" w:ascii="Times New Roman" w:hAnsi="黑体" w:eastAsia="黑体" w:cs="Times New Roman"/>
          <w:b w:val="0"/>
          <w:color w:val="000000" w:themeColor="text1"/>
          <w:kern w:val="44"/>
          <w:sz w:val="32"/>
          <w:szCs w:val="32"/>
          <w:highlight w:val="none"/>
          <w:lang w:val="zh-CN"/>
          <w14:textFill>
            <w14:solidFill>
              <w14:schemeClr w14:val="tx1"/>
            </w14:solidFill>
          </w14:textFill>
        </w:rPr>
        <w:t>四、建设集约先进的基础设施</w:t>
      </w:r>
      <w:bookmarkEnd w:id="424"/>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color w:val="000000" w:themeColor="text1"/>
          <w:kern w:val="0"/>
          <w:sz w:val="32"/>
          <w:szCs w:val="32"/>
          <w:highlight w:val="none"/>
          <w14:textFill>
            <w14:solidFill>
              <w14:schemeClr w14:val="tx1"/>
            </w14:solidFill>
          </w14:textFill>
        </w:rPr>
        <w:t>遵循“适度超前、利旧建新、应用驱动、重点示范”建设思路，适度超前建设物联感知体系、基础网络体系等先进信息基础设施。以政务服务、产业发展、民生保障、城区治理等上层业务应用为牵引，探索部署数字政府基础设施，创新城区运行模式。</w:t>
      </w:r>
    </w:p>
    <w:p>
      <w:pPr>
        <w:widowControl/>
        <w:spacing w:line="560" w:lineRule="exact"/>
        <w:ind w:firstLine="640" w:firstLineChars="200"/>
        <w:jc w:val="left"/>
        <w:outlineLvl w:val="1"/>
        <w:rPr>
          <w:rFonts w:ascii="楷体_GB2312" w:hAnsi="黑体" w:eastAsia="楷体_GB2312" w:cs="仿宋_GB2312"/>
          <w:color w:val="000000" w:themeColor="text1"/>
          <w:kern w:val="0"/>
          <w:sz w:val="32"/>
          <w:szCs w:val="32"/>
          <w:highlight w:val="none"/>
          <w14:textFill>
            <w14:solidFill>
              <w14:schemeClr w14:val="tx1"/>
            </w14:solidFill>
          </w14:textFill>
        </w:rPr>
      </w:pPr>
      <w:bookmarkStart w:id="425" w:name="_Toc75790513"/>
      <w:r>
        <w:rPr>
          <w:rFonts w:hint="eastAsia" w:ascii="楷体_GB2312" w:hAnsi="黑体" w:eastAsia="楷体_GB2312" w:cs="仿宋_GB2312"/>
          <w:color w:val="000000" w:themeColor="text1"/>
          <w:kern w:val="0"/>
          <w:sz w:val="32"/>
          <w:szCs w:val="32"/>
          <w:highlight w:val="none"/>
          <w14:textFill>
            <w14:solidFill>
              <w14:schemeClr w14:val="tx1"/>
            </w14:solidFill>
          </w14:textFill>
        </w:rPr>
        <w:t>（一）实施经开区全域感知</w:t>
      </w:r>
      <w:bookmarkEnd w:id="425"/>
    </w:p>
    <w:p>
      <w:pPr>
        <w:pStyle w:val="4"/>
        <w:keepNext w:val="0"/>
        <w:keepLines w:val="0"/>
        <w:tabs>
          <w:tab w:val="left" w:pos="3119"/>
        </w:tabs>
        <w:spacing w:before="0" w:after="0" w:line="560" w:lineRule="exact"/>
        <w:ind w:left="567"/>
        <w:rPr>
          <w:rFonts w:ascii="仿宋_GB2312" w:hAnsi="楷体" w:eastAsia="仿宋_GB2312"/>
          <w:color w:val="000000" w:themeColor="text1"/>
          <w:highlight w:val="none"/>
          <w14:textFill>
            <w14:solidFill>
              <w14:schemeClr w14:val="tx1"/>
            </w14:solidFill>
          </w14:textFill>
        </w:rPr>
      </w:pPr>
      <w:bookmarkStart w:id="426" w:name="_Toc64873725"/>
      <w:bookmarkStart w:id="427" w:name="_Toc68615362"/>
      <w:bookmarkStart w:id="428" w:name="_Toc75790514"/>
      <w:bookmarkStart w:id="429" w:name="_Toc63303009"/>
      <w:bookmarkStart w:id="430" w:name="_Toc59121369"/>
      <w:bookmarkStart w:id="431" w:name="_Toc72936854"/>
      <w:bookmarkStart w:id="432" w:name="_Toc67470141"/>
      <w:bookmarkStart w:id="433" w:name="_Toc64866090"/>
      <w:bookmarkStart w:id="434" w:name="_Toc64863228"/>
      <w:r>
        <w:rPr>
          <w:rFonts w:hint="eastAsia" w:ascii="仿宋_GB2312" w:hAnsi="楷体" w:eastAsia="仿宋_GB2312"/>
          <w:color w:val="000000" w:themeColor="text1"/>
          <w:highlight w:val="none"/>
          <w14:textFill>
            <w14:solidFill>
              <w14:schemeClr w14:val="tx1"/>
            </w14:solidFill>
          </w14:textFill>
        </w:rPr>
        <w:t>1.夯实物联网感知体系</w:t>
      </w:r>
      <w:bookmarkEnd w:id="426"/>
      <w:bookmarkEnd w:id="427"/>
      <w:bookmarkEnd w:id="428"/>
      <w:bookmarkEnd w:id="429"/>
      <w:bookmarkEnd w:id="430"/>
      <w:bookmarkEnd w:id="431"/>
      <w:bookmarkEnd w:id="432"/>
      <w:bookmarkEnd w:id="433"/>
      <w:bookmarkEnd w:id="434"/>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14:textFill>
            <w14:solidFill>
              <w14:schemeClr w14:val="tx1"/>
            </w14:solidFill>
          </w14:textFill>
        </w:rPr>
      </w:pPr>
      <w:r>
        <w:rPr>
          <w:rFonts w:hint="eastAsia" w:ascii="仿宋_GB2312" w:hAnsi="仿宋" w:eastAsia="仿宋_GB2312" w:cs="E-BX"/>
          <w:color w:val="000000" w:themeColor="text1"/>
          <w:kern w:val="0"/>
          <w:sz w:val="32"/>
          <w:szCs w:val="32"/>
          <w:highlight w:val="none"/>
          <w14:textFill>
            <w14:solidFill>
              <w14:schemeClr w14:val="tx1"/>
            </w14:solidFill>
          </w14:textFill>
        </w:rPr>
        <w:t>按照湛江市统一部署，加快推动集照明控制、WIFI天线基站、视频监控管理、广告屏播控、城区环境实时监测等功能于一体的5G智慧多功能杆建设，提升公共安全、城市管理、道路交通、生态环境等领域的智能感知水平。经开区将面向城市管理、公共安全、环境监测、工业制造、农业生产、交通出行等领域应用需求，推进各类智能化基础设施和感知网络集约建设。实时监控管理各物联网接入设备的状态与运行情况，接收并处理设备感知信息，实现对城市</w:t>
      </w:r>
      <w:r>
        <w:rPr>
          <w:rFonts w:hint="eastAsia" w:ascii="仿宋_GB2312" w:hAnsi="仿宋" w:eastAsia="仿宋_GB2312" w:cs="E-BX"/>
          <w:color w:val="000000" w:themeColor="text1"/>
          <w:kern w:val="0"/>
          <w:sz w:val="32"/>
          <w:szCs w:val="32"/>
          <w14:textFill>
            <w14:solidFill>
              <w14:schemeClr w14:val="tx1"/>
            </w14:solidFill>
          </w14:textFill>
        </w:rPr>
        <w:t>基础部件和基础事件的动态管理以及城市信息数据的协同感知。</w:t>
      </w:r>
    </w:p>
    <w:p>
      <w:pPr>
        <w:pStyle w:val="4"/>
        <w:keepNext w:val="0"/>
        <w:keepLines w:val="0"/>
        <w:spacing w:before="0" w:after="0" w:line="560" w:lineRule="exact"/>
        <w:ind w:left="567"/>
        <w:rPr>
          <w:rFonts w:ascii="仿宋_GB2312" w:hAnsi="楷体" w:eastAsia="仿宋_GB2312"/>
          <w:color w:val="000000" w:themeColor="text1"/>
          <w14:textFill>
            <w14:solidFill>
              <w14:schemeClr w14:val="tx1"/>
            </w14:solidFill>
          </w14:textFill>
        </w:rPr>
      </w:pPr>
      <w:bookmarkStart w:id="435" w:name="_Toc67470142"/>
      <w:bookmarkStart w:id="436" w:name="_Toc57929336"/>
      <w:bookmarkStart w:id="437" w:name="_Toc64873726"/>
      <w:bookmarkStart w:id="438" w:name="_Toc56410744"/>
      <w:bookmarkStart w:id="439" w:name="_Toc64863229"/>
      <w:bookmarkStart w:id="440" w:name="_Toc58916863"/>
      <w:bookmarkStart w:id="441" w:name="_Toc57017180"/>
      <w:bookmarkStart w:id="442" w:name="_Toc56903794"/>
      <w:bookmarkStart w:id="443" w:name="_Toc63303010"/>
      <w:bookmarkStart w:id="444" w:name="_Toc64866091"/>
      <w:bookmarkStart w:id="445" w:name="_Toc57598709"/>
      <w:bookmarkStart w:id="446" w:name="_Toc57015456"/>
      <w:bookmarkStart w:id="447" w:name="_Toc57015349"/>
      <w:bookmarkStart w:id="448" w:name="_Toc75790515"/>
      <w:bookmarkStart w:id="449" w:name="_Toc72936855"/>
      <w:bookmarkStart w:id="450" w:name="_Toc59121370"/>
      <w:bookmarkStart w:id="451" w:name="_Toc68615363"/>
      <w:bookmarkStart w:id="452" w:name="_Toc58569965"/>
      <w:r>
        <w:rPr>
          <w:rFonts w:hint="eastAsia" w:ascii="仿宋_GB2312" w:hAnsi="楷体" w:eastAsia="仿宋_GB2312"/>
          <w:color w:val="000000" w:themeColor="text1"/>
          <w14:textFill>
            <w14:solidFill>
              <w14:schemeClr w14:val="tx1"/>
            </w14:solidFill>
          </w14:textFill>
        </w:rPr>
        <w:t>2</w:t>
      </w:r>
      <w:r>
        <w:rPr>
          <w:rFonts w:ascii="仿宋_GB2312" w:hAnsi="楷体" w:eastAsia="仿宋_GB2312"/>
          <w:color w:val="000000" w:themeColor="text1"/>
          <w14:textFill>
            <w14:solidFill>
              <w14:schemeClr w14:val="tx1"/>
            </w14:solidFill>
          </w14:textFill>
        </w:rPr>
        <w:t>.</w:t>
      </w:r>
      <w:r>
        <w:rPr>
          <w:rFonts w:hint="eastAsia" w:ascii="仿宋_GB2312" w:hAnsi="楷体" w:eastAsia="仿宋_GB2312"/>
          <w:color w:val="000000" w:themeColor="text1"/>
          <w14:textFill>
            <w14:solidFill>
              <w14:schemeClr w14:val="tx1"/>
            </w14:solidFill>
          </w14:textFill>
        </w:rPr>
        <w:t>完善高清视频监控体系</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14:textFill>
            <w14:solidFill>
              <w14:schemeClr w14:val="tx1"/>
            </w14:solidFill>
          </w14:textFill>
        </w:rPr>
      </w:pPr>
      <w:r>
        <w:rPr>
          <w:rFonts w:hint="eastAsia" w:ascii="仿宋_GB2312" w:hAnsi="仿宋" w:eastAsia="仿宋_GB2312" w:cs="E-BX"/>
          <w:color w:val="000000" w:themeColor="text1"/>
          <w:kern w:val="0"/>
          <w:sz w:val="32"/>
          <w:szCs w:val="32"/>
          <w14:textFill>
            <w14:solidFill>
              <w14:schemeClr w14:val="tx1"/>
            </w14:solidFill>
          </w14:textFill>
        </w:rPr>
        <w:t>结合“雪亮工程”，建设经开区智慧“一双眼”。利用高清、超高清视频（4k/8k）信息采集和视频分析等新兴视频技术，推动重点打击犯罪</w:t>
      </w:r>
      <w:r>
        <w:rPr>
          <w:rFonts w:ascii="仿宋_GB2312" w:hAnsi="仿宋" w:eastAsia="仿宋_GB2312" w:cs="E-BX"/>
          <w:color w:val="000000" w:themeColor="text1"/>
          <w:kern w:val="0"/>
          <w:sz w:val="32"/>
          <w:szCs w:val="32"/>
          <w14:textFill>
            <w14:solidFill>
              <w14:schemeClr w14:val="tx1"/>
            </w14:solidFill>
          </w14:textFill>
        </w:rPr>
        <w:t>、</w:t>
      </w:r>
      <w:r>
        <w:rPr>
          <w:rFonts w:hint="eastAsia" w:ascii="仿宋_GB2312" w:hAnsi="仿宋" w:eastAsia="仿宋_GB2312" w:cs="E-BX"/>
          <w:color w:val="000000" w:themeColor="text1"/>
          <w:kern w:val="0"/>
          <w:sz w:val="32"/>
          <w:szCs w:val="32"/>
          <w14:textFill>
            <w14:solidFill>
              <w14:schemeClr w14:val="tx1"/>
            </w14:solidFill>
          </w14:textFill>
        </w:rPr>
        <w:t>食品安全、</w:t>
      </w:r>
      <w:r>
        <w:rPr>
          <w:rFonts w:ascii="仿宋_GB2312" w:hAnsi="仿宋" w:eastAsia="仿宋_GB2312" w:cs="E-BX"/>
          <w:color w:val="000000" w:themeColor="text1"/>
          <w:kern w:val="0"/>
          <w:sz w:val="32"/>
          <w:szCs w:val="32"/>
          <w14:textFill>
            <w14:solidFill>
              <w14:schemeClr w14:val="tx1"/>
            </w14:solidFill>
          </w14:textFill>
        </w:rPr>
        <w:t>安全生产</w:t>
      </w:r>
      <w:r>
        <w:rPr>
          <w:rFonts w:hint="eastAsia" w:ascii="仿宋_GB2312" w:hAnsi="仿宋" w:eastAsia="仿宋_GB2312" w:cs="E-BX"/>
          <w:color w:val="000000" w:themeColor="text1"/>
          <w:kern w:val="0"/>
          <w:sz w:val="32"/>
          <w:szCs w:val="32"/>
          <w14:textFill>
            <w14:solidFill>
              <w14:schemeClr w14:val="tx1"/>
            </w14:solidFill>
          </w14:textFill>
        </w:rPr>
        <w:t>和</w:t>
      </w:r>
      <w:r>
        <w:rPr>
          <w:rFonts w:ascii="仿宋_GB2312" w:hAnsi="仿宋" w:eastAsia="仿宋_GB2312" w:cs="E-BX"/>
          <w:color w:val="000000" w:themeColor="text1"/>
          <w:kern w:val="0"/>
          <w:sz w:val="32"/>
          <w:szCs w:val="32"/>
          <w14:textFill>
            <w14:solidFill>
              <w14:schemeClr w14:val="tx1"/>
            </w14:solidFill>
          </w14:textFill>
        </w:rPr>
        <w:t>防灾减灾等领域</w:t>
      </w:r>
      <w:r>
        <w:rPr>
          <w:rFonts w:hint="eastAsia" w:ascii="仿宋_GB2312" w:hAnsi="仿宋" w:eastAsia="仿宋_GB2312" w:cs="E-BX"/>
          <w:color w:val="000000" w:themeColor="text1"/>
          <w:kern w:val="0"/>
          <w:sz w:val="32"/>
          <w:szCs w:val="32"/>
          <w14:textFill>
            <w14:solidFill>
              <w14:schemeClr w14:val="tx1"/>
            </w14:solidFill>
          </w14:textFill>
        </w:rPr>
        <w:t>的视频监控系统建设。结合省市视频资源服务平台建设项目，以城乡网格化建设为抓手，分级有效整合各类视频图像资源，促进点位互补、网络互联、平台互通，最大限度实现公共区域视频图像资源的联网共享，实现“全域覆盖、全网共享、全时可用、全程可控”，为社会治安、城市治理、民生服务、生态环保等领域提供多系统多元化应用支撑。</w:t>
      </w:r>
    </w:p>
    <w:p>
      <w:pPr>
        <w:widowControl/>
        <w:spacing w:line="560" w:lineRule="exact"/>
        <w:ind w:firstLine="640" w:firstLineChars="200"/>
        <w:jc w:val="left"/>
        <w:outlineLvl w:val="1"/>
        <w:rPr>
          <w:rFonts w:ascii="楷体_GB2312" w:hAnsi="黑体" w:eastAsia="楷体_GB2312" w:cs="仿宋_GB2312"/>
          <w:color w:val="000000" w:themeColor="text1"/>
          <w:kern w:val="0"/>
          <w:sz w:val="32"/>
          <w:szCs w:val="32"/>
          <w14:textFill>
            <w14:solidFill>
              <w14:schemeClr w14:val="tx1"/>
            </w14:solidFill>
          </w14:textFill>
        </w:rPr>
      </w:pPr>
      <w:bookmarkStart w:id="453" w:name="_Toc75790516"/>
      <w:r>
        <w:rPr>
          <w:rFonts w:hint="eastAsia" w:ascii="楷体_GB2312" w:hAnsi="黑体" w:eastAsia="楷体_GB2312" w:cs="仿宋_GB2312"/>
          <w:color w:val="000000" w:themeColor="text1"/>
          <w:kern w:val="0"/>
          <w:sz w:val="32"/>
          <w:szCs w:val="32"/>
          <w14:textFill>
            <w14:solidFill>
              <w14:schemeClr w14:val="tx1"/>
            </w14:solidFill>
          </w14:textFill>
        </w:rPr>
        <w:t>（二）实施政务网络升级改造</w:t>
      </w:r>
      <w:bookmarkEnd w:id="453"/>
    </w:p>
    <w:p>
      <w:pPr>
        <w:pStyle w:val="4"/>
        <w:keepNext w:val="0"/>
        <w:keepLines w:val="0"/>
        <w:spacing w:before="0" w:after="0" w:line="560" w:lineRule="exact"/>
        <w:ind w:left="567"/>
        <w:rPr>
          <w:rFonts w:ascii="仿宋_GB2312" w:hAnsi="楷体" w:eastAsia="仿宋_GB2312"/>
          <w:color w:val="000000" w:themeColor="text1"/>
          <w14:textFill>
            <w14:solidFill>
              <w14:schemeClr w14:val="tx1"/>
            </w14:solidFill>
          </w14:textFill>
        </w:rPr>
      </w:pPr>
      <w:bookmarkStart w:id="454" w:name="_Toc56410747"/>
      <w:bookmarkStart w:id="455" w:name="_Toc67470144"/>
      <w:bookmarkStart w:id="456" w:name="_Toc57015352"/>
      <w:bookmarkStart w:id="457" w:name="_Toc57598712"/>
      <w:bookmarkStart w:id="458" w:name="_Toc68615365"/>
      <w:bookmarkStart w:id="459" w:name="_Toc63303012"/>
      <w:bookmarkStart w:id="460" w:name="_Toc56903797"/>
      <w:bookmarkStart w:id="461" w:name="_Toc57015459"/>
      <w:bookmarkStart w:id="462" w:name="_Toc64866093"/>
      <w:bookmarkStart w:id="463" w:name="_Toc64863231"/>
      <w:bookmarkStart w:id="464" w:name="_Toc58916866"/>
      <w:bookmarkStart w:id="465" w:name="_Toc59121372"/>
      <w:bookmarkStart w:id="466" w:name="_Toc72936857"/>
      <w:bookmarkStart w:id="467" w:name="_Toc57017183"/>
      <w:bookmarkStart w:id="468" w:name="_Toc75790517"/>
      <w:bookmarkStart w:id="469" w:name="_Toc58933701"/>
      <w:bookmarkStart w:id="470" w:name="_Toc58569968"/>
      <w:bookmarkStart w:id="471" w:name="_Toc57929339"/>
      <w:bookmarkStart w:id="472" w:name="_Toc63751422"/>
      <w:bookmarkStart w:id="473" w:name="_Toc64873728"/>
      <w:r>
        <w:rPr>
          <w:rFonts w:ascii="仿宋_GB2312" w:hAnsi="楷体" w:eastAsia="仿宋_GB2312"/>
          <w:color w:val="000000" w:themeColor="text1"/>
          <w14:textFill>
            <w14:solidFill>
              <w14:schemeClr w14:val="tx1"/>
            </w14:solidFill>
          </w14:textFill>
        </w:rPr>
        <w:t>1.</w:t>
      </w:r>
      <w:r>
        <w:rPr>
          <w:rFonts w:hint="eastAsia" w:ascii="仿宋_GB2312" w:hAnsi="楷体" w:eastAsia="仿宋_GB2312"/>
          <w:color w:val="000000" w:themeColor="text1"/>
          <w14:textFill>
            <w14:solidFill>
              <w14:schemeClr w14:val="tx1"/>
            </w14:solidFill>
          </w14:textFill>
        </w:rPr>
        <w:t>政务外网</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14:textFill>
            <w14:solidFill>
              <w14:schemeClr w14:val="tx1"/>
            </w14:solidFill>
          </w14:textFill>
        </w:rPr>
      </w:pPr>
      <w:r>
        <w:rPr>
          <w:rFonts w:hint="eastAsia" w:ascii="仿宋_GB2312" w:hAnsi="仿宋" w:eastAsia="仿宋_GB2312" w:cs="E-BX"/>
          <w:color w:val="000000" w:themeColor="text1"/>
          <w:kern w:val="0"/>
          <w:sz w:val="32"/>
          <w:szCs w:val="32"/>
          <w14:textFill>
            <w14:solidFill>
              <w14:schemeClr w14:val="tx1"/>
            </w14:solidFill>
          </w14:textFill>
        </w:rPr>
        <w:t>在国家相关标准规范以及国家电子政务外网统一的标准规范的基础上，根据区级电子政务外网建设的实际需要，扩大电子政务外网的覆盖面，提高网络带宽，实现电子政务外网百兆到各街道（镇）、各部门，五十兆到村居。经开区统筹推进区域内电子政务外网IPV4/IPV6的双栈部署工作。利用5G技术，加快电子政务外网无线化、移动化建设，提升电子政务外网多场景、多领域的适用性和支撑力。整合非涉密业务专网。遵循省统一规范要求，提高我区政务网络安全与支撑服务能力，将部门各类分散隔离的非涉密业务专网，通过业务系统迁移、网络割接、线路合并等方式整合到统一的电子政务外网。</w:t>
      </w:r>
    </w:p>
    <w:p>
      <w:pPr>
        <w:pStyle w:val="4"/>
        <w:keepNext w:val="0"/>
        <w:keepLines w:val="0"/>
        <w:spacing w:before="0" w:after="0" w:line="560" w:lineRule="exact"/>
        <w:ind w:left="567"/>
        <w:rPr>
          <w:rFonts w:ascii="仿宋_GB2312" w:hAnsi="楷体" w:eastAsia="仿宋_GB2312"/>
          <w:color w:val="000000" w:themeColor="text1"/>
          <w14:textFill>
            <w14:solidFill>
              <w14:schemeClr w14:val="tx1"/>
            </w14:solidFill>
          </w14:textFill>
        </w:rPr>
      </w:pPr>
      <w:bookmarkStart w:id="474" w:name="_Toc56903798"/>
      <w:bookmarkStart w:id="475" w:name="_Toc56410748"/>
      <w:bookmarkStart w:id="476" w:name="_Toc57015353"/>
      <w:bookmarkStart w:id="477" w:name="_Toc58933702"/>
      <w:bookmarkStart w:id="478" w:name="_Toc75790518"/>
      <w:bookmarkStart w:id="479" w:name="_Toc57015460"/>
      <w:bookmarkStart w:id="480" w:name="_Toc64873729"/>
      <w:bookmarkStart w:id="481" w:name="_Toc67470145"/>
      <w:bookmarkStart w:id="482" w:name="_Toc63303013"/>
      <w:bookmarkStart w:id="483" w:name="_Toc63751423"/>
      <w:bookmarkStart w:id="484" w:name="_Toc72936858"/>
      <w:bookmarkStart w:id="485" w:name="_Toc64866094"/>
      <w:bookmarkStart w:id="486" w:name="_Toc57598713"/>
      <w:bookmarkStart w:id="487" w:name="_Toc57929340"/>
      <w:bookmarkStart w:id="488" w:name="_Toc57017184"/>
      <w:bookmarkStart w:id="489" w:name="_Toc58916867"/>
      <w:bookmarkStart w:id="490" w:name="_Toc58569969"/>
      <w:bookmarkStart w:id="491" w:name="_Toc59121373"/>
      <w:bookmarkStart w:id="492" w:name="_Toc68615366"/>
      <w:bookmarkStart w:id="493" w:name="_Toc64863232"/>
      <w:r>
        <w:rPr>
          <w:rFonts w:ascii="仿宋_GB2312" w:hAnsi="楷体" w:eastAsia="仿宋_GB2312"/>
          <w:color w:val="000000" w:themeColor="text1"/>
          <w14:textFill>
            <w14:solidFill>
              <w14:schemeClr w14:val="tx1"/>
            </w14:solidFill>
          </w14:textFill>
        </w:rPr>
        <w:t>2.</w:t>
      </w:r>
      <w:r>
        <w:rPr>
          <w:rFonts w:hint="eastAsia" w:ascii="仿宋_GB2312" w:hAnsi="楷体" w:eastAsia="仿宋_GB2312"/>
          <w:color w:val="000000" w:themeColor="text1"/>
          <w14:textFill>
            <w14:solidFill>
              <w14:schemeClr w14:val="tx1"/>
            </w14:solidFill>
          </w14:textFill>
        </w:rPr>
        <w:t>5</w:t>
      </w:r>
      <w:r>
        <w:rPr>
          <w:rFonts w:ascii="仿宋_GB2312" w:hAnsi="楷体" w:eastAsia="仿宋_GB2312"/>
          <w:color w:val="000000" w:themeColor="text1"/>
          <w14:textFill>
            <w14:solidFill>
              <w14:schemeClr w14:val="tx1"/>
            </w14:solidFill>
          </w14:textFill>
        </w:rPr>
        <w:t>G</w:t>
      </w:r>
      <w:r>
        <w:rPr>
          <w:rFonts w:hint="eastAsia" w:ascii="仿宋_GB2312" w:hAnsi="楷体" w:eastAsia="仿宋_GB2312"/>
          <w:color w:val="000000" w:themeColor="text1"/>
          <w14:textFill>
            <w14:solidFill>
              <w14:schemeClr w14:val="tx1"/>
            </w14:solidFill>
          </w14:textFill>
        </w:rPr>
        <w:t>基础网络</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14:textFill>
            <w14:solidFill>
              <w14:schemeClr w14:val="tx1"/>
            </w14:solidFill>
          </w14:textFill>
        </w:rPr>
      </w:pPr>
      <w:r>
        <w:rPr>
          <w:rFonts w:hint="eastAsia" w:ascii="仿宋_GB2312" w:hAnsi="仿宋" w:eastAsia="仿宋_GB2312" w:cs="E-BX"/>
          <w:color w:val="000000" w:themeColor="text1"/>
          <w:kern w:val="0"/>
          <w:sz w:val="32"/>
          <w:szCs w:val="32"/>
          <w14:textFill>
            <w14:solidFill>
              <w14:schemeClr w14:val="tx1"/>
            </w14:solidFill>
          </w14:textFill>
        </w:rPr>
        <w:t>按照《湛江市加快5</w:t>
      </w:r>
      <w:r>
        <w:rPr>
          <w:rFonts w:ascii="仿宋_GB2312" w:hAnsi="仿宋" w:eastAsia="仿宋_GB2312" w:cs="E-BX"/>
          <w:color w:val="000000" w:themeColor="text1"/>
          <w:kern w:val="0"/>
          <w:sz w:val="32"/>
          <w:szCs w:val="32"/>
          <w14:textFill>
            <w14:solidFill>
              <w14:schemeClr w14:val="tx1"/>
            </w14:solidFill>
          </w14:textFill>
        </w:rPr>
        <w:t>G</w:t>
      </w:r>
      <w:r>
        <w:rPr>
          <w:rFonts w:hint="eastAsia" w:ascii="仿宋_GB2312" w:hAnsi="仿宋" w:eastAsia="仿宋_GB2312" w:cs="E-BX"/>
          <w:color w:val="000000" w:themeColor="text1"/>
          <w:kern w:val="0"/>
          <w:sz w:val="32"/>
          <w:szCs w:val="32"/>
          <w14:textFill>
            <w14:solidFill>
              <w14:schemeClr w14:val="tx1"/>
            </w14:solidFill>
          </w14:textFill>
        </w:rPr>
        <w:t>产业发展行动计划（2019-2022年）》的要求，优先在市区、重点产业园区、重点产业集聚区部署5G网络建设，支撑5G应用建设。与本地通信运营商对接，推进区内行政中心区、人流密集生活区、商贸发展核心区、工业集中发展区、东海岛沿海港口等重点区域5G信号连续覆盖，促进工业园区、港口信息化、智能化、自动化发展。积极推进5G场景应用示范，以智慧商贸、交通物流、智能制造、城市管理、医疗教育、高清影视等多领域为切入点，探索5G与经济社会各领域的深度融合，形成工业制造、电商、物流等重点行业5G示范区，加快建成全市5G领先城市。加强5</w:t>
      </w:r>
      <w:r>
        <w:rPr>
          <w:rFonts w:ascii="仿宋_GB2312" w:hAnsi="仿宋" w:eastAsia="仿宋_GB2312" w:cs="E-BX"/>
          <w:color w:val="000000" w:themeColor="text1"/>
          <w:kern w:val="0"/>
          <w:sz w:val="32"/>
          <w:szCs w:val="32"/>
          <w14:textFill>
            <w14:solidFill>
              <w14:schemeClr w14:val="tx1"/>
            </w14:solidFill>
          </w14:textFill>
        </w:rPr>
        <w:t>G</w:t>
      </w:r>
      <w:r>
        <w:rPr>
          <w:rFonts w:hint="eastAsia" w:ascii="仿宋_GB2312" w:hAnsi="仿宋" w:eastAsia="仿宋_GB2312" w:cs="E-BX"/>
          <w:color w:val="000000" w:themeColor="text1"/>
          <w:kern w:val="0"/>
          <w:sz w:val="32"/>
          <w:szCs w:val="32"/>
          <w14:textFill>
            <w14:solidFill>
              <w14:schemeClr w14:val="tx1"/>
            </w14:solidFill>
          </w14:textFill>
        </w:rPr>
        <w:t>技术科普宣传，推动5</w:t>
      </w:r>
      <w:r>
        <w:rPr>
          <w:rFonts w:ascii="仿宋_GB2312" w:hAnsi="仿宋" w:eastAsia="仿宋_GB2312" w:cs="E-BX"/>
          <w:color w:val="000000" w:themeColor="text1"/>
          <w:kern w:val="0"/>
          <w:sz w:val="32"/>
          <w:szCs w:val="32"/>
          <w14:textFill>
            <w14:solidFill>
              <w14:schemeClr w14:val="tx1"/>
            </w14:solidFill>
          </w14:textFill>
        </w:rPr>
        <w:t>G</w:t>
      </w:r>
      <w:r>
        <w:rPr>
          <w:rFonts w:hint="eastAsia" w:ascii="仿宋_GB2312" w:hAnsi="仿宋" w:eastAsia="仿宋_GB2312" w:cs="E-BX"/>
          <w:color w:val="000000" w:themeColor="text1"/>
          <w:kern w:val="0"/>
          <w:sz w:val="32"/>
          <w:szCs w:val="32"/>
          <w14:textFill>
            <w14:solidFill>
              <w14:schemeClr w14:val="tx1"/>
            </w14:solidFill>
          </w14:textFill>
        </w:rPr>
        <w:t>网络向乡村区域纵深覆盖。</w:t>
      </w:r>
    </w:p>
    <w:p>
      <w:pPr>
        <w:pStyle w:val="4"/>
        <w:keepNext w:val="0"/>
        <w:keepLines w:val="0"/>
        <w:spacing w:before="0" w:after="0" w:line="560" w:lineRule="exact"/>
        <w:ind w:left="567"/>
        <w:rPr>
          <w:rFonts w:ascii="仿宋_GB2312" w:hAnsi="楷体" w:eastAsia="仿宋_GB2312"/>
          <w:color w:val="000000" w:themeColor="text1"/>
          <w14:textFill>
            <w14:solidFill>
              <w14:schemeClr w14:val="tx1"/>
            </w14:solidFill>
          </w14:textFill>
        </w:rPr>
      </w:pPr>
      <w:bookmarkStart w:id="494" w:name="_Toc63303014"/>
      <w:bookmarkStart w:id="495" w:name="_Toc57017185"/>
      <w:bookmarkStart w:id="496" w:name="_Toc59121374"/>
      <w:bookmarkStart w:id="497" w:name="_Toc57598714"/>
      <w:bookmarkStart w:id="498" w:name="_Toc63751424"/>
      <w:bookmarkStart w:id="499" w:name="_Toc58916868"/>
      <w:bookmarkStart w:id="500" w:name="_Toc57929341"/>
      <w:bookmarkStart w:id="501" w:name="_Toc58569970"/>
      <w:bookmarkStart w:id="502" w:name="_Toc57015461"/>
      <w:bookmarkStart w:id="503" w:name="_Toc56903799"/>
      <w:bookmarkStart w:id="504" w:name="_Toc56410749"/>
      <w:bookmarkStart w:id="505" w:name="_Toc57015354"/>
      <w:bookmarkStart w:id="506" w:name="_Toc58933703"/>
      <w:bookmarkStart w:id="507" w:name="_Toc72936859"/>
      <w:bookmarkStart w:id="508" w:name="_Toc64863233"/>
      <w:bookmarkStart w:id="509" w:name="_Toc64866095"/>
      <w:bookmarkStart w:id="510" w:name="_Toc67470146"/>
      <w:bookmarkStart w:id="511" w:name="_Toc64873730"/>
      <w:bookmarkStart w:id="512" w:name="_Toc75790519"/>
      <w:bookmarkStart w:id="513" w:name="_Toc68615367"/>
      <w:r>
        <w:rPr>
          <w:rFonts w:hint="eastAsia" w:ascii="仿宋_GB2312" w:hAnsi="楷体" w:eastAsia="仿宋_GB2312"/>
          <w:color w:val="000000" w:themeColor="text1"/>
          <w14:textFill>
            <w14:solidFill>
              <w14:schemeClr w14:val="tx1"/>
            </w14:solidFill>
          </w14:textFill>
        </w:rPr>
        <w:t>3</w:t>
      </w:r>
      <w:r>
        <w:rPr>
          <w:rFonts w:ascii="仿宋_GB2312" w:hAnsi="楷体" w:eastAsia="仿宋_GB2312"/>
          <w:color w:val="000000" w:themeColor="text1"/>
          <w14:textFill>
            <w14:solidFill>
              <w14:schemeClr w14:val="tx1"/>
            </w14:solidFill>
          </w14:textFill>
        </w:rPr>
        <w:t>.</w:t>
      </w:r>
      <w:bookmarkEnd w:id="494"/>
      <w:bookmarkEnd w:id="495"/>
      <w:bookmarkEnd w:id="496"/>
      <w:bookmarkEnd w:id="497"/>
      <w:bookmarkEnd w:id="498"/>
      <w:bookmarkEnd w:id="499"/>
      <w:bookmarkEnd w:id="500"/>
      <w:bookmarkEnd w:id="501"/>
      <w:bookmarkEnd w:id="502"/>
      <w:bookmarkEnd w:id="503"/>
      <w:bookmarkEnd w:id="504"/>
      <w:bookmarkEnd w:id="505"/>
      <w:bookmarkEnd w:id="506"/>
      <w:r>
        <w:rPr>
          <w:rFonts w:hint="eastAsia" w:ascii="仿宋_GB2312" w:hAnsi="楷体" w:eastAsia="仿宋_GB2312"/>
          <w:color w:val="000000" w:themeColor="text1"/>
          <w14:textFill>
            <w14:solidFill>
              <w14:schemeClr w14:val="tx1"/>
            </w14:solidFill>
          </w14:textFill>
        </w:rPr>
        <w:t>新型宽带网络</w:t>
      </w:r>
      <w:bookmarkEnd w:id="507"/>
      <w:bookmarkEnd w:id="508"/>
      <w:bookmarkEnd w:id="509"/>
      <w:bookmarkEnd w:id="510"/>
      <w:bookmarkEnd w:id="511"/>
      <w:bookmarkEnd w:id="512"/>
      <w:bookmarkEnd w:id="513"/>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14:textFill>
            <w14:solidFill>
              <w14:schemeClr w14:val="tx1"/>
            </w14:solidFill>
          </w14:textFill>
        </w:rPr>
      </w:pPr>
      <w:r>
        <w:rPr>
          <w:rFonts w:hint="eastAsia" w:ascii="仿宋_GB2312" w:hAnsi="仿宋" w:eastAsia="仿宋_GB2312" w:cs="E-BX"/>
          <w:color w:val="000000" w:themeColor="text1"/>
          <w:kern w:val="0"/>
          <w:sz w:val="32"/>
          <w:szCs w:val="32"/>
          <w14:textFill>
            <w14:solidFill>
              <w14:schemeClr w14:val="tx1"/>
            </w14:solidFill>
          </w14:textFill>
        </w:rPr>
        <w:t>加快经开区高速宽带网络建设，深入推进宽带网络光纤化改造，推进城市老旧小区光纤改造，提供多运营商宽带接入服务和宽带增值服务，延伸铺设光缆线路长度，扩大宽带覆盖范围，提高城乡家庭固定宽带网络接入能力，实现千兆到户规模部署。推进Ipv6规模化部署，</w:t>
      </w:r>
      <w:r>
        <w:rPr>
          <w:rFonts w:hint="eastAsia" w:ascii="仿宋_GB2312" w:hAnsi="仿宋_GB2312" w:eastAsia="仿宋_GB2312" w:cs="仿宋_GB2312"/>
          <w:color w:val="000000" w:themeColor="text1"/>
          <w:kern w:val="0"/>
          <w:sz w:val="32"/>
          <w:szCs w:val="32"/>
          <w14:textFill>
            <w14:solidFill>
              <w14:schemeClr w14:val="tx1"/>
            </w14:solidFill>
          </w14:textFill>
        </w:rPr>
        <w:t>为新型智慧城市和新型工业化强区的建设提供高速泛在的网络传输服务。</w:t>
      </w:r>
    </w:p>
    <w:p>
      <w:pPr>
        <w:widowControl/>
        <w:spacing w:line="560" w:lineRule="exact"/>
        <w:ind w:firstLine="640" w:firstLineChars="200"/>
        <w:jc w:val="left"/>
        <w:outlineLvl w:val="1"/>
        <w:rPr>
          <w:rFonts w:ascii="楷体_GB2312" w:hAnsi="黑体" w:eastAsia="楷体_GB2312" w:cs="仿宋_GB2312"/>
          <w:color w:val="000000" w:themeColor="text1"/>
          <w:kern w:val="0"/>
          <w:sz w:val="32"/>
          <w:szCs w:val="32"/>
          <w14:textFill>
            <w14:solidFill>
              <w14:schemeClr w14:val="tx1"/>
            </w14:solidFill>
          </w14:textFill>
        </w:rPr>
      </w:pPr>
      <w:bookmarkStart w:id="514" w:name="_Toc75790520"/>
      <w:r>
        <w:rPr>
          <w:rFonts w:hint="eastAsia" w:ascii="楷体_GB2312" w:hAnsi="黑体" w:eastAsia="楷体_GB2312" w:cs="仿宋_GB2312"/>
          <w:color w:val="000000" w:themeColor="text1"/>
          <w:kern w:val="0"/>
          <w:sz w:val="32"/>
          <w:szCs w:val="32"/>
          <w14:textFill>
            <w14:solidFill>
              <w14:schemeClr w14:val="tx1"/>
            </w14:solidFill>
          </w14:textFill>
        </w:rPr>
        <w:t>（三）提升云上经开服务</w:t>
      </w:r>
      <w:bookmarkEnd w:id="514"/>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color w:val="000000" w:themeColor="text1"/>
          <w:kern w:val="0"/>
          <w:sz w:val="32"/>
          <w:szCs w:val="32"/>
          <w14:textFill>
            <w14:solidFill>
              <w14:schemeClr w14:val="tx1"/>
            </w14:solidFill>
          </w14:textFill>
        </w:rPr>
        <w:t>按照广东省政务云“1+N+M”的架构和“全省一片云”的布局，以基础设施集约共享为出发点，依托广东省政务云平台湛江节点，统一承载经开区各部门业务系统平台。大力整合各部分现有分散的基础设施资源，已满足上云条件的政务信息系统，以“应上尽上”原则有序推动政务信息系统上云迁移部署，新增和改扩建非涉密信息系统全部上云部署，原则上不再批准非涉密系统独立部署，实现电子政务集约化建设，避免重复投入。加快整合区直部门现有机房和IT资产，除特定需求外，部门机房原则上随业务系统迁移逐步撤销;配合市加快已建行业云与广东省政务云平台湛江节点融合对接，</w:t>
      </w:r>
      <w:bookmarkStart w:id="938" w:name="_GoBack"/>
      <w:r>
        <w:rPr>
          <w:rFonts w:hint="eastAsia" w:ascii="仿宋_GB2312" w:hAnsi="仿宋" w:eastAsia="仿宋_GB2312" w:cs="E-BX"/>
          <w:color w:val="000000" w:themeColor="text1"/>
          <w:kern w:val="0"/>
          <w:sz w:val="32"/>
          <w:szCs w:val="32"/>
          <w:highlight w:val="none"/>
          <w14:textFill>
            <w14:solidFill>
              <w14:schemeClr w14:val="tx1"/>
            </w14:solidFill>
          </w14:textFill>
        </w:rPr>
        <w:t>新建行业云原则上基于市政务云平台进行部署，实现政务资源的集中调度和综合服务。</w:t>
      </w:r>
    </w:p>
    <w:p>
      <w:pPr>
        <w:pStyle w:val="2"/>
        <w:keepNext/>
        <w:keepLines/>
        <w:widowControl w:val="0"/>
        <w:spacing w:before="0" w:beforeAutospacing="0" w:after="0" w:afterAutospacing="0" w:line="579" w:lineRule="exact"/>
        <w:ind w:firstLine="960" w:firstLineChars="300"/>
        <w:jc w:val="both"/>
        <w:rPr>
          <w:rFonts w:ascii="Times New Roman" w:hAnsi="黑体" w:eastAsia="黑体" w:cs="Times New Roman"/>
          <w:b w:val="0"/>
          <w:color w:val="000000" w:themeColor="text1"/>
          <w:kern w:val="44"/>
          <w:sz w:val="32"/>
          <w:szCs w:val="32"/>
          <w:highlight w:val="none"/>
          <w:lang w:val="zh-CN"/>
          <w14:textFill>
            <w14:solidFill>
              <w14:schemeClr w14:val="tx1"/>
            </w14:solidFill>
          </w14:textFill>
        </w:rPr>
      </w:pPr>
      <w:bookmarkStart w:id="515" w:name="_Toc75790521"/>
      <w:r>
        <w:rPr>
          <w:rFonts w:hint="eastAsia" w:ascii="Times New Roman" w:hAnsi="黑体" w:eastAsia="黑体" w:cs="Times New Roman"/>
          <w:b w:val="0"/>
          <w:color w:val="000000" w:themeColor="text1"/>
          <w:kern w:val="44"/>
          <w:sz w:val="32"/>
          <w:szCs w:val="32"/>
          <w:highlight w:val="none"/>
          <w:lang w:val="zh-CN"/>
          <w14:textFill>
            <w14:solidFill>
              <w14:schemeClr w14:val="tx1"/>
            </w14:solidFill>
          </w14:textFill>
        </w:rPr>
        <w:t>五、打造智能交互的数智大脑</w:t>
      </w:r>
      <w:bookmarkEnd w:id="515"/>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color w:val="000000" w:themeColor="text1"/>
          <w:kern w:val="0"/>
          <w:sz w:val="32"/>
          <w:szCs w:val="32"/>
          <w:highlight w:val="none"/>
          <w14:textFill>
            <w14:solidFill>
              <w14:schemeClr w14:val="tx1"/>
            </w14:solidFill>
          </w14:textFill>
        </w:rPr>
        <w:t>经开区“数智大脑”肩负着数字政府和智慧城市领域应用中各项数据汇聚、管理、分析、呈现、反馈的集成职能，实现数字政府的资源共享、协同管理和应用聚合。以城区管理和治理为重点，“数智大脑”建设包含智慧城市综合运行管理平台、“</w:t>
      </w:r>
      <w:r>
        <w:rPr>
          <w:rFonts w:ascii="仿宋_GB2312" w:hAnsi="仿宋" w:eastAsia="仿宋_GB2312" w:cs="E-BX"/>
          <w:color w:val="000000" w:themeColor="text1"/>
          <w:kern w:val="0"/>
          <w:sz w:val="32"/>
          <w:szCs w:val="32"/>
          <w:highlight w:val="none"/>
          <w14:textFill>
            <w14:solidFill>
              <w14:schemeClr w14:val="tx1"/>
            </w14:solidFill>
          </w14:textFill>
        </w:rPr>
        <w:t>1+6+N</w:t>
      </w:r>
      <w:r>
        <w:rPr>
          <w:rFonts w:hint="eastAsia" w:ascii="仿宋_GB2312" w:hAnsi="仿宋" w:eastAsia="仿宋_GB2312" w:cs="E-BX"/>
          <w:color w:val="000000" w:themeColor="text1"/>
          <w:kern w:val="0"/>
          <w:sz w:val="32"/>
          <w:szCs w:val="32"/>
          <w:highlight w:val="none"/>
          <w14:textFill>
            <w14:solidFill>
              <w14:schemeClr w14:val="tx1"/>
            </w14:solidFill>
          </w14:textFill>
        </w:rPr>
        <w:t>”运行指挥体系、统一服务门户和特色专题应用在内的区级综合运行管理中心，区级数据资源体系和共享省市级公共支撑平台，借助新兴技术手段，实现广泛信息采集、城市运营监测预警、应急指挥、多网格化管理、辅助决策、事件管理、城市仪表盘、协同联动等综合功能。</w:t>
      </w:r>
    </w:p>
    <w:p>
      <w:pPr>
        <w:widowControl/>
        <w:spacing w:line="560" w:lineRule="exact"/>
        <w:ind w:firstLine="640" w:firstLineChars="200"/>
        <w:jc w:val="left"/>
        <w:outlineLvl w:val="1"/>
        <w:rPr>
          <w:rFonts w:ascii="楷体_GB2312" w:hAnsi="黑体" w:eastAsia="楷体_GB2312" w:cs="仿宋_GB2312"/>
          <w:color w:val="000000" w:themeColor="text1"/>
          <w:kern w:val="0"/>
          <w:sz w:val="32"/>
          <w:szCs w:val="32"/>
          <w:highlight w:val="none"/>
          <w14:textFill>
            <w14:solidFill>
              <w14:schemeClr w14:val="tx1"/>
            </w14:solidFill>
          </w14:textFill>
        </w:rPr>
      </w:pPr>
      <w:bookmarkStart w:id="516" w:name="_Toc75790522"/>
      <w:r>
        <w:rPr>
          <w:rFonts w:hint="eastAsia" w:ascii="楷体_GB2312" w:hAnsi="黑体" w:eastAsia="楷体_GB2312" w:cs="仿宋_GB2312"/>
          <w:color w:val="000000" w:themeColor="text1"/>
          <w:kern w:val="0"/>
          <w:sz w:val="32"/>
          <w:szCs w:val="32"/>
          <w:highlight w:val="none"/>
          <w14:textFill>
            <w14:solidFill>
              <w14:schemeClr w14:val="tx1"/>
            </w14:solidFill>
          </w14:textFill>
        </w:rPr>
        <w:t>（一）经开区综合运行管理中心</w:t>
      </w:r>
      <w:bookmarkEnd w:id="516"/>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color w:val="000000" w:themeColor="text1"/>
          <w:kern w:val="0"/>
          <w:sz w:val="32"/>
          <w:szCs w:val="32"/>
          <w:highlight w:val="none"/>
          <w14:textFill>
            <w14:solidFill>
              <w14:schemeClr w14:val="tx1"/>
            </w14:solidFill>
          </w14:textFill>
        </w:rPr>
        <w:t>基于全省“一网统管”的要求，经开区综合运行管理中心</w:t>
      </w:r>
      <w:r>
        <w:rPr>
          <w:rFonts w:ascii="仿宋_GB2312" w:hAnsi="仿宋" w:eastAsia="仿宋_GB2312" w:cs="E-BX"/>
          <w:color w:val="000000" w:themeColor="text1"/>
          <w:kern w:val="0"/>
          <w:sz w:val="32"/>
          <w:szCs w:val="32"/>
          <w:highlight w:val="none"/>
          <w14:textFill>
            <w14:solidFill>
              <w14:schemeClr w14:val="tx1"/>
            </w14:solidFill>
          </w14:textFill>
        </w:rPr>
        <w:t>将</w:t>
      </w:r>
      <w:r>
        <w:rPr>
          <w:rFonts w:hint="eastAsia" w:ascii="仿宋_GB2312" w:hAnsi="仿宋" w:eastAsia="仿宋_GB2312" w:cs="E-BX"/>
          <w:color w:val="000000" w:themeColor="text1"/>
          <w:kern w:val="0"/>
          <w:sz w:val="32"/>
          <w:szCs w:val="32"/>
          <w:highlight w:val="none"/>
          <w14:textFill>
            <w14:solidFill>
              <w14:schemeClr w14:val="tx1"/>
            </w14:solidFill>
          </w14:textFill>
        </w:rPr>
        <w:t>城区</w:t>
      </w:r>
      <w:r>
        <w:rPr>
          <w:rFonts w:ascii="仿宋_GB2312" w:hAnsi="仿宋" w:eastAsia="仿宋_GB2312" w:cs="E-BX"/>
          <w:color w:val="000000" w:themeColor="text1"/>
          <w:kern w:val="0"/>
          <w:sz w:val="32"/>
          <w:szCs w:val="32"/>
          <w:highlight w:val="none"/>
          <w14:textFill>
            <w14:solidFill>
              <w14:schemeClr w14:val="tx1"/>
            </w14:solidFill>
          </w14:textFill>
        </w:rPr>
        <w:t>的人、事、物、空间等信息进行统筹管理，依托经开区</w:t>
      </w:r>
      <w:r>
        <w:rPr>
          <w:rFonts w:hint="eastAsia" w:ascii="仿宋_GB2312" w:hAnsi="仿宋" w:eastAsia="仿宋_GB2312" w:cs="E-BX"/>
          <w:color w:val="000000" w:themeColor="text1"/>
          <w:kern w:val="0"/>
          <w:sz w:val="32"/>
          <w:szCs w:val="32"/>
          <w:highlight w:val="none"/>
          <w14:textFill>
            <w14:solidFill>
              <w14:schemeClr w14:val="tx1"/>
            </w14:solidFill>
          </w14:textFill>
        </w:rPr>
        <w:t>信息</w:t>
      </w:r>
      <w:r>
        <w:rPr>
          <w:rFonts w:ascii="仿宋_GB2312" w:hAnsi="仿宋" w:eastAsia="仿宋_GB2312" w:cs="E-BX"/>
          <w:color w:val="000000" w:themeColor="text1"/>
          <w:kern w:val="0"/>
          <w:sz w:val="32"/>
          <w:szCs w:val="32"/>
          <w:highlight w:val="none"/>
          <w14:textFill>
            <w14:solidFill>
              <w14:schemeClr w14:val="tx1"/>
            </w14:solidFill>
          </w14:textFill>
        </w:rPr>
        <w:t>基础设施架构和数据</w:t>
      </w:r>
      <w:r>
        <w:rPr>
          <w:rFonts w:hint="eastAsia" w:ascii="仿宋_GB2312" w:hAnsi="仿宋" w:eastAsia="仿宋_GB2312" w:cs="E-BX"/>
          <w:color w:val="000000" w:themeColor="text1"/>
          <w:kern w:val="0"/>
          <w:sz w:val="32"/>
          <w:szCs w:val="32"/>
          <w:highlight w:val="none"/>
          <w14:textFill>
            <w14:solidFill>
              <w14:schemeClr w14:val="tx1"/>
            </w14:solidFill>
          </w14:textFill>
        </w:rPr>
        <w:t>资源</w:t>
      </w:r>
      <w:r>
        <w:rPr>
          <w:rFonts w:ascii="仿宋_GB2312" w:hAnsi="仿宋" w:eastAsia="仿宋_GB2312" w:cs="E-BX"/>
          <w:color w:val="000000" w:themeColor="text1"/>
          <w:kern w:val="0"/>
          <w:sz w:val="32"/>
          <w:szCs w:val="32"/>
          <w:highlight w:val="none"/>
          <w14:textFill>
            <w14:solidFill>
              <w14:schemeClr w14:val="tx1"/>
            </w14:solidFill>
          </w14:textFill>
        </w:rPr>
        <w:t>架构，实现终端感知和</w:t>
      </w:r>
      <w:r>
        <w:rPr>
          <w:rFonts w:hint="eastAsia" w:ascii="仿宋_GB2312" w:hAnsi="仿宋" w:eastAsia="仿宋_GB2312" w:cs="E-BX"/>
          <w:color w:val="000000" w:themeColor="text1"/>
          <w:kern w:val="0"/>
          <w:sz w:val="32"/>
          <w:szCs w:val="32"/>
          <w:highlight w:val="none"/>
          <w14:textFill>
            <w14:solidFill>
              <w14:schemeClr w14:val="tx1"/>
            </w14:solidFill>
          </w14:textFill>
        </w:rPr>
        <w:t>各领域应用的互联</w:t>
      </w:r>
      <w:r>
        <w:rPr>
          <w:rFonts w:ascii="仿宋_GB2312" w:hAnsi="仿宋" w:eastAsia="仿宋_GB2312" w:cs="E-BX"/>
          <w:color w:val="000000" w:themeColor="text1"/>
          <w:kern w:val="0"/>
          <w:sz w:val="32"/>
          <w:szCs w:val="32"/>
          <w:highlight w:val="none"/>
          <w14:textFill>
            <w14:solidFill>
              <w14:schemeClr w14:val="tx1"/>
            </w14:solidFill>
          </w14:textFill>
        </w:rPr>
        <w:t>与现有各</w:t>
      </w:r>
      <w:r>
        <w:rPr>
          <w:rFonts w:hint="eastAsia" w:ascii="仿宋_GB2312" w:hAnsi="仿宋" w:eastAsia="仿宋_GB2312" w:cs="E-BX"/>
          <w:color w:val="000000" w:themeColor="text1"/>
          <w:kern w:val="0"/>
          <w:sz w:val="32"/>
          <w:szCs w:val="32"/>
          <w:highlight w:val="none"/>
          <w14:textFill>
            <w14:solidFill>
              <w14:schemeClr w14:val="tx1"/>
            </w14:solidFill>
          </w14:textFill>
        </w:rPr>
        <w:t>职能部门管理</w:t>
      </w:r>
      <w:r>
        <w:rPr>
          <w:rFonts w:ascii="仿宋_GB2312" w:hAnsi="仿宋" w:eastAsia="仿宋_GB2312" w:cs="E-BX"/>
          <w:color w:val="000000" w:themeColor="text1"/>
          <w:kern w:val="0"/>
          <w:sz w:val="32"/>
          <w:szCs w:val="32"/>
          <w:highlight w:val="none"/>
          <w14:textFill>
            <w14:solidFill>
              <w14:schemeClr w14:val="tx1"/>
            </w14:solidFill>
          </w14:textFill>
        </w:rPr>
        <w:t>中心的互联互通，</w:t>
      </w:r>
      <w:r>
        <w:rPr>
          <w:rFonts w:hint="eastAsia" w:ascii="仿宋_GB2312" w:hAnsi="仿宋" w:eastAsia="仿宋_GB2312" w:cs="E-BX"/>
          <w:color w:val="000000" w:themeColor="text1"/>
          <w:kern w:val="0"/>
          <w:sz w:val="32"/>
          <w:szCs w:val="32"/>
          <w:highlight w:val="none"/>
          <w14:textFill>
            <w14:solidFill>
              <w14:schemeClr w14:val="tx1"/>
            </w14:solidFill>
          </w14:textFill>
        </w:rPr>
        <w:t>实现各领域监测分析结果的集中展示，并通过数据的集中汇聚和智能化决策分析支持，形成可掌控城区运行全局、中央统一调度指挥的决策系统，增强城区治理灵敏感知、快速分析、迅捷处置能力。</w:t>
      </w:r>
    </w:p>
    <w:p>
      <w:pPr>
        <w:pStyle w:val="4"/>
        <w:keepNext w:val="0"/>
        <w:keepLines w:val="0"/>
        <w:spacing w:before="0" w:after="0" w:line="560" w:lineRule="exact"/>
        <w:ind w:left="567"/>
        <w:rPr>
          <w:rFonts w:ascii="仿宋_GB2312" w:hAnsi="楷体" w:eastAsia="仿宋_GB2312"/>
          <w:color w:val="000000" w:themeColor="text1"/>
          <w:highlight w:val="none"/>
          <w14:textFill>
            <w14:solidFill>
              <w14:schemeClr w14:val="tx1"/>
            </w14:solidFill>
          </w14:textFill>
        </w:rPr>
      </w:pPr>
      <w:bookmarkStart w:id="517" w:name="_Toc75790523"/>
      <w:bookmarkStart w:id="518" w:name="_Toc67470150"/>
      <w:bookmarkStart w:id="519" w:name="_Toc64873740"/>
      <w:bookmarkStart w:id="520" w:name="_Toc68615371"/>
      <w:bookmarkStart w:id="521" w:name="_Toc72936863"/>
      <w:bookmarkStart w:id="522" w:name="_Toc58569982"/>
      <w:bookmarkStart w:id="523" w:name="_Toc57929353"/>
      <w:bookmarkStart w:id="524" w:name="_Toc58916878"/>
      <w:bookmarkStart w:id="525" w:name="_Toc59121384"/>
      <w:bookmarkStart w:id="526" w:name="_Toc63303024"/>
      <w:bookmarkStart w:id="527" w:name="_Toc63751434"/>
      <w:bookmarkStart w:id="528" w:name="_Toc57598726"/>
      <w:bookmarkStart w:id="529" w:name="_Toc58933713"/>
      <w:r>
        <w:rPr>
          <w:rFonts w:hint="eastAsia" w:ascii="仿宋_GB2312" w:hAnsi="楷体" w:eastAsia="仿宋_GB2312"/>
          <w:color w:val="000000" w:themeColor="text1"/>
          <w:highlight w:val="none"/>
          <w14:textFill>
            <w14:solidFill>
              <w14:schemeClr w14:val="tx1"/>
            </w14:solidFill>
          </w14:textFill>
        </w:rPr>
        <w:t>1.建设智慧城市</w:t>
      </w:r>
      <w:r>
        <w:rPr>
          <w:rFonts w:hint="eastAsia" w:ascii="仿宋_GB2312" w:hAnsi="仿宋" w:eastAsia="仿宋_GB2312" w:cs="E-BX"/>
          <w:color w:val="000000" w:themeColor="text1"/>
          <w:kern w:val="0"/>
          <w:highlight w:val="none"/>
          <w14:textFill>
            <w14:solidFill>
              <w14:schemeClr w14:val="tx1"/>
            </w14:solidFill>
          </w14:textFill>
        </w:rPr>
        <w:t>综合</w:t>
      </w:r>
      <w:r>
        <w:rPr>
          <w:rFonts w:hint="eastAsia" w:ascii="仿宋_GB2312" w:hAnsi="楷体" w:eastAsia="仿宋_GB2312"/>
          <w:color w:val="000000" w:themeColor="text1"/>
          <w:highlight w:val="none"/>
          <w14:textFill>
            <w14:solidFill>
              <w14:schemeClr w14:val="tx1"/>
            </w14:solidFill>
          </w14:textFill>
        </w:rPr>
        <w:t>运行管理平台</w:t>
      </w:r>
      <w:bookmarkEnd w:id="517"/>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color w:val="000000" w:themeColor="text1"/>
          <w:kern w:val="0"/>
          <w:sz w:val="32"/>
          <w:szCs w:val="32"/>
          <w:highlight w:val="none"/>
          <w14:textFill>
            <w14:solidFill>
              <w14:schemeClr w14:val="tx1"/>
            </w14:solidFill>
          </w14:textFill>
        </w:rPr>
        <w:t>依托湛江市“一网统管”基础平台，建设和完善集城区日常运行管理、应急处置、部门协同联动的经开区智慧城市综合运行管理平台，对接省“一网统管”基础平台“粤治慧”，实现省、市、区智能运营“一盘棋”，支撑全省数字政府决策和指挥中枢的建设。从“一网统管”业务协同新格局和城市运行管理的角度出发，建设集数据汇聚分析、多维监测展示、智慧融合决策、中央指挥调度等功能于一体的经开区综合运行管理平台。通过政务网络连接和数据共享交换，加强经开区智慧城市综合运行管理平台与各领域应用（如经济运行、科技创新、基层治理、交通运输、生态环境、应急指挥等）的互联，实现各领域监测分析结果的集中展示，并通过数据的集中汇聚和智能化决策分析支持，形成可掌控城市运行全局、中央统一调度指挥的决策系统，最终实现部门业务协同融合、数据资源流转通畅、决策支撑科学智慧、社会治理精准有效、公共服务便捷高效、安全保障可管可控。推进经开区智慧城市综合运行管理平台按需对接湛江市“一网统管”基础平台，对接“粤治慧”，</w:t>
      </w:r>
    </w:p>
    <w:p>
      <w:pPr>
        <w:pStyle w:val="4"/>
        <w:keepNext w:val="0"/>
        <w:keepLines w:val="0"/>
        <w:spacing w:before="0" w:after="0" w:line="560" w:lineRule="exact"/>
        <w:ind w:left="567"/>
        <w:rPr>
          <w:rFonts w:ascii="仿宋_GB2312" w:hAnsi="楷体" w:eastAsia="仿宋_GB2312"/>
          <w:color w:val="000000" w:themeColor="text1"/>
          <w:highlight w:val="none"/>
          <w14:textFill>
            <w14:solidFill>
              <w14:schemeClr w14:val="tx1"/>
            </w14:solidFill>
          </w14:textFill>
        </w:rPr>
      </w:pPr>
      <w:bookmarkStart w:id="530" w:name="_Toc75790524"/>
      <w:r>
        <w:rPr>
          <w:rFonts w:hint="eastAsia" w:ascii="仿宋_GB2312" w:hAnsi="楷体" w:eastAsia="仿宋_GB2312"/>
          <w:color w:val="000000" w:themeColor="text1"/>
          <w:highlight w:val="none"/>
          <w14:textFill>
            <w14:solidFill>
              <w14:schemeClr w14:val="tx1"/>
            </w14:solidFill>
          </w14:textFill>
        </w:rPr>
        <w:t>2.</w:t>
      </w:r>
      <w:bookmarkStart w:id="531" w:name="_Toc64863243"/>
      <w:bookmarkStart w:id="532" w:name="_Toc64866105"/>
      <w:r>
        <w:rPr>
          <w:rFonts w:hint="eastAsia" w:ascii="仿宋_GB2312" w:hAnsi="楷体" w:eastAsia="仿宋_GB2312"/>
          <w:color w:val="000000" w:themeColor="text1"/>
          <w:highlight w:val="none"/>
          <w14:textFill>
            <w14:solidFill>
              <w14:schemeClr w14:val="tx1"/>
            </w14:solidFill>
          </w14:textFill>
        </w:rPr>
        <w:t>建设</w:t>
      </w:r>
      <w:bookmarkEnd w:id="518"/>
      <w:bookmarkEnd w:id="519"/>
      <w:bookmarkEnd w:id="520"/>
      <w:bookmarkEnd w:id="531"/>
      <w:bookmarkEnd w:id="532"/>
      <w:r>
        <w:rPr>
          <w:rFonts w:hint="eastAsia" w:ascii="仿宋_GB2312" w:hAnsi="楷体" w:eastAsia="仿宋_GB2312"/>
          <w:color w:val="000000" w:themeColor="text1"/>
          <w:highlight w:val="none"/>
          <w14:textFill>
            <w14:solidFill>
              <w14:schemeClr w14:val="tx1"/>
            </w14:solidFill>
          </w14:textFill>
        </w:rPr>
        <w:t>“1+6+N”运行指挥体系</w:t>
      </w:r>
      <w:bookmarkEnd w:id="521"/>
      <w:bookmarkEnd w:id="530"/>
    </w:p>
    <w:bookmarkEnd w:id="522"/>
    <w:bookmarkEnd w:id="523"/>
    <w:bookmarkEnd w:id="524"/>
    <w:bookmarkEnd w:id="525"/>
    <w:bookmarkEnd w:id="526"/>
    <w:bookmarkEnd w:id="527"/>
    <w:bookmarkEnd w:id="528"/>
    <w:bookmarkEnd w:id="529"/>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color w:val="000000" w:themeColor="text1"/>
          <w:kern w:val="0"/>
          <w:sz w:val="32"/>
          <w:szCs w:val="32"/>
          <w:highlight w:val="none"/>
          <w14:textFill>
            <w14:solidFill>
              <w14:schemeClr w14:val="tx1"/>
            </w14:solidFill>
          </w14:textFill>
        </w:rPr>
        <w:t>参照国际、国内园区运营指挥与调度相关经验，结合经开区各职能部门城区管理需求，打造“1+</w:t>
      </w:r>
      <w:r>
        <w:rPr>
          <w:rFonts w:ascii="仿宋_GB2312" w:hAnsi="仿宋" w:eastAsia="仿宋_GB2312" w:cs="E-BX"/>
          <w:color w:val="000000" w:themeColor="text1"/>
          <w:kern w:val="0"/>
          <w:sz w:val="32"/>
          <w:szCs w:val="32"/>
          <w:highlight w:val="none"/>
          <w14:textFill>
            <w14:solidFill>
              <w14:schemeClr w14:val="tx1"/>
            </w14:solidFill>
          </w14:textFill>
        </w:rPr>
        <w:t>6</w:t>
      </w:r>
      <w:r>
        <w:rPr>
          <w:rFonts w:hint="eastAsia" w:ascii="仿宋_GB2312" w:hAnsi="仿宋" w:eastAsia="仿宋_GB2312" w:cs="E-BX"/>
          <w:color w:val="000000" w:themeColor="text1"/>
          <w:kern w:val="0"/>
          <w:sz w:val="32"/>
          <w:szCs w:val="32"/>
          <w:highlight w:val="none"/>
          <w14:textFill>
            <w14:solidFill>
              <w14:schemeClr w14:val="tx1"/>
            </w14:solidFill>
          </w14:textFill>
        </w:rPr>
        <w:t>+</w:t>
      </w:r>
      <w:r>
        <w:rPr>
          <w:rFonts w:ascii="仿宋_GB2312" w:hAnsi="仿宋" w:eastAsia="仿宋_GB2312" w:cs="E-BX"/>
          <w:color w:val="000000" w:themeColor="text1"/>
          <w:kern w:val="0"/>
          <w:sz w:val="32"/>
          <w:szCs w:val="32"/>
          <w:highlight w:val="none"/>
          <w14:textFill>
            <w14:solidFill>
              <w14:schemeClr w14:val="tx1"/>
            </w14:solidFill>
          </w14:textFill>
        </w:rPr>
        <w:t>N</w:t>
      </w:r>
      <w:r>
        <w:rPr>
          <w:rFonts w:hint="eastAsia" w:ascii="仿宋_GB2312" w:hAnsi="仿宋" w:eastAsia="仿宋_GB2312" w:cs="E-BX"/>
          <w:color w:val="000000" w:themeColor="text1"/>
          <w:kern w:val="0"/>
          <w:sz w:val="32"/>
          <w:szCs w:val="32"/>
          <w:highlight w:val="none"/>
          <w14:textFill>
            <w14:solidFill>
              <w14:schemeClr w14:val="tx1"/>
            </w14:solidFill>
          </w14:textFill>
        </w:rPr>
        <w:t>”的协同联动的运行指挥体系。</w:t>
      </w:r>
      <w:bookmarkStart w:id="533" w:name="_Hlk71636161"/>
      <w:r>
        <w:rPr>
          <w:rFonts w:hint="eastAsia" w:ascii="仿宋_GB2312" w:hAnsi="仿宋" w:eastAsia="仿宋_GB2312" w:cs="E-BX"/>
          <w:color w:val="000000" w:themeColor="text1"/>
          <w:kern w:val="0"/>
          <w:sz w:val="32"/>
          <w:szCs w:val="32"/>
          <w:highlight w:val="none"/>
          <w14:textFill>
            <w14:solidFill>
              <w14:schemeClr w14:val="tx1"/>
            </w14:solidFill>
          </w14:textFill>
        </w:rPr>
        <w:t>1个经开区综合运行管理中心，</w:t>
      </w:r>
      <w:bookmarkEnd w:id="533"/>
      <w:r>
        <w:rPr>
          <w:rFonts w:hint="eastAsia" w:ascii="仿宋_GB2312" w:hAnsi="仿宋" w:eastAsia="仿宋_GB2312" w:cs="E-BX"/>
          <w:color w:val="000000" w:themeColor="text1"/>
          <w:kern w:val="0"/>
          <w:sz w:val="32"/>
          <w:szCs w:val="32"/>
          <w:highlight w:val="none"/>
          <w14:textFill>
            <w14:solidFill>
              <w14:schemeClr w14:val="tx1"/>
            </w14:solidFill>
          </w14:textFill>
        </w:rPr>
        <w:t>以重大、突发事件快速、高效处置为抓手，以领导移动决策指挥为核心，基于</w:t>
      </w:r>
      <w:r>
        <w:rPr>
          <w:rFonts w:ascii="仿宋_GB2312" w:hAnsi="仿宋" w:eastAsia="仿宋_GB2312" w:cs="E-BX"/>
          <w:color w:val="000000" w:themeColor="text1"/>
          <w:kern w:val="0"/>
          <w:sz w:val="32"/>
          <w:szCs w:val="32"/>
          <w:highlight w:val="none"/>
          <w14:textFill>
            <w14:solidFill>
              <w14:schemeClr w14:val="tx1"/>
            </w14:solidFill>
          </w14:textFill>
        </w:rPr>
        <w:t>6</w:t>
      </w:r>
      <w:r>
        <w:rPr>
          <w:rFonts w:hint="eastAsia" w:ascii="仿宋_GB2312" w:hAnsi="仿宋" w:eastAsia="仿宋_GB2312" w:cs="E-BX"/>
          <w:color w:val="000000" w:themeColor="text1"/>
          <w:kern w:val="0"/>
          <w:sz w:val="32"/>
          <w:szCs w:val="32"/>
          <w:highlight w:val="none"/>
          <w14:textFill>
            <w14:solidFill>
              <w14:schemeClr w14:val="tx1"/>
            </w14:solidFill>
          </w14:textFill>
        </w:rPr>
        <w:t>+N指挥中心，构建区综合运行管理中心。乐华街道办、泉庄街道办、东山街道办、东简街道办、民安街道办和硇洲镇人民政府等</w:t>
      </w:r>
      <w:r>
        <w:rPr>
          <w:rFonts w:ascii="仿宋_GB2312" w:hAnsi="仿宋" w:eastAsia="仿宋_GB2312" w:cs="E-BX"/>
          <w:color w:val="000000" w:themeColor="text1"/>
          <w:kern w:val="0"/>
          <w:sz w:val="32"/>
          <w:szCs w:val="32"/>
          <w:highlight w:val="none"/>
          <w14:textFill>
            <w14:solidFill>
              <w14:schemeClr w14:val="tx1"/>
            </w14:solidFill>
          </w14:textFill>
        </w:rPr>
        <w:t>6</w:t>
      </w:r>
      <w:r>
        <w:rPr>
          <w:rFonts w:hint="eastAsia" w:ascii="仿宋_GB2312" w:hAnsi="仿宋" w:eastAsia="仿宋_GB2312" w:cs="E-BX"/>
          <w:color w:val="000000" w:themeColor="text1"/>
          <w:kern w:val="0"/>
          <w:sz w:val="32"/>
          <w:szCs w:val="32"/>
          <w:highlight w:val="none"/>
          <w14:textFill>
            <w14:solidFill>
              <w14:schemeClr w14:val="tx1"/>
            </w14:solidFill>
          </w14:textFill>
        </w:rPr>
        <w:t>个街道（镇）指挥联动中心，作为区综合运行管理中心的分中心，满足各街道（镇）日常管理工作和应急联动指挥的使用要求。N个部门作为区综合运行管理中心的业务分中心，满足各职能部门日常管理工作和应急指挥的使用要求。</w:t>
      </w:r>
      <w:bookmarkStart w:id="534" w:name="_Toc57929355"/>
      <w:bookmarkStart w:id="535" w:name="_Toc63303025"/>
      <w:bookmarkStart w:id="536" w:name="_Toc58916880"/>
      <w:bookmarkStart w:id="537" w:name="_Toc58569984"/>
      <w:bookmarkStart w:id="538" w:name="_Toc58933715"/>
      <w:bookmarkStart w:id="539" w:name="_Toc59121386"/>
      <w:bookmarkStart w:id="540" w:name="_Toc57598728"/>
    </w:p>
    <w:p>
      <w:pPr>
        <w:pStyle w:val="4"/>
        <w:keepNext w:val="0"/>
        <w:keepLines w:val="0"/>
        <w:spacing w:before="0" w:after="0" w:line="560" w:lineRule="exact"/>
        <w:ind w:left="567"/>
        <w:rPr>
          <w:rFonts w:ascii="仿宋_GB2312" w:hAnsi="楷体" w:eastAsia="仿宋_GB2312"/>
          <w:color w:val="000000" w:themeColor="text1"/>
          <w:highlight w:val="none"/>
          <w14:textFill>
            <w14:solidFill>
              <w14:schemeClr w14:val="tx1"/>
            </w14:solidFill>
          </w14:textFill>
        </w:rPr>
      </w:pPr>
      <w:bookmarkStart w:id="541" w:name="_Toc72936865"/>
      <w:bookmarkStart w:id="542" w:name="_Toc75790525"/>
      <w:r>
        <w:rPr>
          <w:rFonts w:ascii="仿宋_GB2312" w:hAnsi="楷体" w:eastAsia="仿宋_GB2312"/>
          <w:color w:val="000000" w:themeColor="text1"/>
          <w:highlight w:val="none"/>
          <w14:textFill>
            <w14:solidFill>
              <w14:schemeClr w14:val="tx1"/>
            </w14:solidFill>
          </w14:textFill>
        </w:rPr>
        <w:t>3</w:t>
      </w:r>
      <w:r>
        <w:rPr>
          <w:rFonts w:hint="eastAsia" w:ascii="仿宋_GB2312" w:hAnsi="楷体" w:eastAsia="仿宋_GB2312"/>
          <w:color w:val="000000" w:themeColor="text1"/>
          <w:highlight w:val="none"/>
          <w14:textFill>
            <w14:solidFill>
              <w14:schemeClr w14:val="tx1"/>
            </w14:solidFill>
          </w14:textFill>
        </w:rPr>
        <w:t>.统一服务门户</w:t>
      </w:r>
      <w:bookmarkEnd w:id="541"/>
      <w:bookmarkEnd w:id="542"/>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color w:val="000000" w:themeColor="text1"/>
          <w:kern w:val="0"/>
          <w:sz w:val="32"/>
          <w:szCs w:val="32"/>
          <w:highlight w:val="none"/>
          <w14:textFill>
            <w14:solidFill>
              <w14:schemeClr w14:val="tx1"/>
            </w14:solidFill>
          </w14:textFill>
        </w:rPr>
        <w:t>汇聚数字政府各领域的应用服务资源，打造统一的接入平台，依托网站、APP、微信及办事大厅触屏形式等信息门户，形成公众服务的统一窗口，为公众提供政府信息查询、交互等一站式、便捷化的综合服务，促进公共服务资源的普惠便捷。整合全区服务信息，按照统一技术标准和发布规范，接入到全区统一的平台。</w:t>
      </w:r>
    </w:p>
    <w:p>
      <w:pPr>
        <w:pStyle w:val="4"/>
        <w:keepNext w:val="0"/>
        <w:keepLines w:val="0"/>
        <w:spacing w:before="0" w:after="0" w:line="560" w:lineRule="exact"/>
        <w:ind w:left="567"/>
        <w:rPr>
          <w:rFonts w:ascii="仿宋_GB2312" w:hAnsi="楷体" w:eastAsia="仿宋_GB2312"/>
          <w:color w:val="000000" w:themeColor="text1"/>
          <w:highlight w:val="none"/>
          <w14:textFill>
            <w14:solidFill>
              <w14:schemeClr w14:val="tx1"/>
            </w14:solidFill>
          </w14:textFill>
        </w:rPr>
      </w:pPr>
      <w:bookmarkStart w:id="543" w:name="_Toc63751436"/>
      <w:bookmarkStart w:id="544" w:name="_Toc63303026"/>
      <w:bookmarkStart w:id="545" w:name="_Toc64863245"/>
      <w:bookmarkStart w:id="546" w:name="_Toc64866107"/>
      <w:bookmarkStart w:id="547" w:name="_Toc68615373"/>
      <w:bookmarkStart w:id="548" w:name="_Toc67470152"/>
      <w:bookmarkStart w:id="549" w:name="_Toc64873742"/>
      <w:bookmarkStart w:id="550" w:name="_Toc75790526"/>
      <w:r>
        <w:rPr>
          <w:rFonts w:ascii="仿宋_GB2312" w:hAnsi="楷体" w:eastAsia="仿宋_GB2312"/>
          <w:color w:val="000000" w:themeColor="text1"/>
          <w:highlight w:val="none"/>
          <w14:textFill>
            <w14:solidFill>
              <w14:schemeClr w14:val="tx1"/>
            </w14:solidFill>
          </w14:textFill>
        </w:rPr>
        <w:t>4.</w:t>
      </w:r>
      <w:bookmarkEnd w:id="543"/>
      <w:bookmarkEnd w:id="544"/>
      <w:r>
        <w:rPr>
          <w:rFonts w:hint="eastAsia" w:ascii="仿宋_GB2312" w:hAnsi="楷体" w:eastAsia="仿宋_GB2312"/>
          <w:color w:val="000000" w:themeColor="text1"/>
          <w:highlight w:val="none"/>
          <w14:textFill>
            <w14:solidFill>
              <w14:schemeClr w14:val="tx1"/>
            </w14:solidFill>
          </w14:textFill>
        </w:rPr>
        <w:t>拓展</w:t>
      </w:r>
      <w:bookmarkEnd w:id="545"/>
      <w:bookmarkEnd w:id="546"/>
      <w:bookmarkEnd w:id="547"/>
      <w:bookmarkEnd w:id="548"/>
      <w:bookmarkEnd w:id="549"/>
      <w:r>
        <w:rPr>
          <w:rFonts w:hint="eastAsia" w:ascii="仿宋_GB2312" w:hAnsi="楷体" w:eastAsia="仿宋_GB2312"/>
          <w:color w:val="000000" w:themeColor="text1"/>
          <w:highlight w:val="none"/>
          <w14:textFill>
            <w14:solidFill>
              <w14:schemeClr w14:val="tx1"/>
            </w14:solidFill>
          </w14:textFill>
        </w:rPr>
        <w:t>特色应用专题</w:t>
      </w:r>
      <w:bookmarkEnd w:id="550"/>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color w:val="000000" w:themeColor="text1"/>
          <w:kern w:val="0"/>
          <w:sz w:val="32"/>
          <w:szCs w:val="32"/>
          <w:highlight w:val="none"/>
          <w14:textFill>
            <w14:solidFill>
              <w14:schemeClr w14:val="tx1"/>
            </w14:solidFill>
          </w14:textFill>
        </w:rPr>
        <w:t>基于经开区智慧城市综合运行管理平台，参考省市级应用专题，组织开展本地特色应用创新建设，以“实战中管用、基层干部爱用、群众感到受用”为原则，选择一批重点场景，深化数据融合应用，推进业务流程再造，分批打造协同治理应用，完善城区数字化治理体系，提升各层级决策、管理和服务能力，更好为企业提供优质高效服务，推动重大项目加快建设、安全生产，投产达效。</w:t>
      </w:r>
    </w:p>
    <w:bookmarkEnd w:id="534"/>
    <w:bookmarkEnd w:id="535"/>
    <w:bookmarkEnd w:id="536"/>
    <w:bookmarkEnd w:id="537"/>
    <w:bookmarkEnd w:id="538"/>
    <w:bookmarkEnd w:id="539"/>
    <w:bookmarkEnd w:id="540"/>
    <w:p>
      <w:pPr>
        <w:widowControl/>
        <w:spacing w:line="560" w:lineRule="exact"/>
        <w:ind w:firstLine="640" w:firstLineChars="200"/>
        <w:jc w:val="left"/>
        <w:outlineLvl w:val="1"/>
        <w:rPr>
          <w:rFonts w:ascii="楷体_GB2312" w:hAnsi="黑体" w:eastAsia="楷体_GB2312" w:cs="仿宋_GB2312"/>
          <w:color w:val="000000" w:themeColor="text1"/>
          <w:kern w:val="0"/>
          <w:sz w:val="32"/>
          <w:szCs w:val="32"/>
          <w:highlight w:val="none"/>
          <w14:textFill>
            <w14:solidFill>
              <w14:schemeClr w14:val="tx1"/>
            </w14:solidFill>
          </w14:textFill>
        </w:rPr>
      </w:pPr>
      <w:bookmarkStart w:id="551" w:name="_Toc75790527"/>
      <w:r>
        <w:rPr>
          <w:rFonts w:hint="eastAsia" w:ascii="楷体_GB2312" w:hAnsi="黑体" w:eastAsia="楷体_GB2312" w:cs="仿宋_GB2312"/>
          <w:color w:val="000000" w:themeColor="text1"/>
          <w:kern w:val="0"/>
          <w:sz w:val="32"/>
          <w:szCs w:val="32"/>
          <w:highlight w:val="none"/>
          <w14:textFill>
            <w14:solidFill>
              <w14:schemeClr w14:val="tx1"/>
            </w14:solidFill>
          </w14:textFill>
        </w:rPr>
        <w:t>（二）数据资源体系</w:t>
      </w:r>
      <w:bookmarkEnd w:id="551"/>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color w:val="000000" w:themeColor="text1"/>
          <w:kern w:val="0"/>
          <w:sz w:val="32"/>
          <w:szCs w:val="32"/>
          <w:highlight w:val="none"/>
          <w14:textFill>
            <w14:solidFill>
              <w14:schemeClr w14:val="tx1"/>
            </w14:solidFill>
          </w14:textFill>
        </w:rPr>
        <w:t>开展政务数据专项治理工作，深化数据的共享交换和开放利用，打造有深度的经开区一体化数据资源体系，助力建设有高度的智慧型政府。</w:t>
      </w:r>
    </w:p>
    <w:p>
      <w:pPr>
        <w:pStyle w:val="4"/>
        <w:keepNext w:val="0"/>
        <w:keepLines w:val="0"/>
        <w:spacing w:before="0" w:after="0" w:line="560" w:lineRule="exact"/>
        <w:ind w:left="567"/>
        <w:rPr>
          <w:rFonts w:ascii="仿宋_GB2312" w:hAnsi="楷体" w:eastAsia="仿宋_GB2312"/>
          <w:color w:val="000000" w:themeColor="text1"/>
          <w:highlight w:val="none"/>
          <w14:textFill>
            <w14:solidFill>
              <w14:schemeClr w14:val="tx1"/>
            </w14:solidFill>
          </w14:textFill>
        </w:rPr>
      </w:pPr>
      <w:bookmarkStart w:id="552" w:name="_Toc72936867"/>
      <w:bookmarkStart w:id="553" w:name="_Toc75790528"/>
      <w:bookmarkStart w:id="554" w:name="_Toc67470154"/>
      <w:bookmarkStart w:id="555" w:name="_Toc68615375"/>
      <w:r>
        <w:rPr>
          <w:rFonts w:ascii="仿宋_GB2312" w:hAnsi="楷体" w:eastAsia="仿宋_GB2312"/>
          <w:color w:val="000000" w:themeColor="text1"/>
          <w:highlight w:val="none"/>
          <w14:textFill>
            <w14:solidFill>
              <w14:schemeClr w14:val="tx1"/>
            </w14:solidFill>
          </w14:textFill>
        </w:rPr>
        <w:t>1</w:t>
      </w:r>
      <w:r>
        <w:rPr>
          <w:rFonts w:hint="eastAsia" w:ascii="仿宋_GB2312" w:hAnsi="楷体" w:eastAsia="仿宋_GB2312"/>
          <w:color w:val="000000" w:themeColor="text1"/>
          <w:highlight w:val="none"/>
          <w14:textFill>
            <w14:solidFill>
              <w14:schemeClr w14:val="tx1"/>
            </w14:solidFill>
          </w14:textFill>
        </w:rPr>
        <w:t>.开展数据资源治理工作</w:t>
      </w:r>
      <w:bookmarkEnd w:id="552"/>
      <w:bookmarkEnd w:id="553"/>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color w:val="000000" w:themeColor="text1"/>
          <w:kern w:val="0"/>
          <w:sz w:val="32"/>
          <w:szCs w:val="32"/>
          <w:highlight w:val="none"/>
          <w14:textFill>
            <w14:solidFill>
              <w14:schemeClr w14:val="tx1"/>
            </w14:solidFill>
          </w14:textFill>
        </w:rPr>
        <w:t>遵循市级政务数据资源管理相关标准规范，推动全区各级各部门按规范开展政务数据资源的梳理及关联整合，对自身原始业务数据进行标准化处理，形成符合政务数据资源共享交换要求的政务数据库，并负责定期更新维护。加强对各部门共享数据的归集整合和统筹管理，建立跨部门的数据质量纠错反馈机制，按照“一数一源”的原则，对各部门共享的政务数据资源进行规范性检查、前后一致性比对、综合校验，确保数据的准确性与完备性，推动政务数据资源安全有序共享和高质量开放利用。</w:t>
      </w:r>
    </w:p>
    <w:bookmarkEnd w:id="554"/>
    <w:bookmarkEnd w:id="555"/>
    <w:p>
      <w:pPr>
        <w:pStyle w:val="4"/>
        <w:keepNext w:val="0"/>
        <w:keepLines w:val="0"/>
        <w:spacing w:before="0" w:after="0" w:line="560" w:lineRule="exact"/>
        <w:ind w:left="567"/>
        <w:rPr>
          <w:rFonts w:ascii="仿宋_GB2312" w:hAnsi="楷体" w:eastAsia="仿宋_GB2312"/>
          <w:color w:val="000000" w:themeColor="text1"/>
          <w:highlight w:val="none"/>
          <w14:textFill>
            <w14:solidFill>
              <w14:schemeClr w14:val="tx1"/>
            </w14:solidFill>
          </w14:textFill>
        </w:rPr>
      </w:pPr>
      <w:bookmarkStart w:id="556" w:name="_Toc72936868"/>
      <w:bookmarkStart w:id="557" w:name="_Toc68615376"/>
      <w:bookmarkStart w:id="558" w:name="_Toc75790529"/>
      <w:bookmarkStart w:id="559" w:name="_Toc67470155"/>
      <w:r>
        <w:rPr>
          <w:rFonts w:ascii="仿宋_GB2312" w:hAnsi="楷体" w:eastAsia="仿宋_GB2312"/>
          <w:color w:val="000000" w:themeColor="text1"/>
          <w:highlight w:val="none"/>
          <w14:textFill>
            <w14:solidFill>
              <w14:schemeClr w14:val="tx1"/>
            </w14:solidFill>
          </w14:textFill>
        </w:rPr>
        <w:t>2</w:t>
      </w:r>
      <w:r>
        <w:rPr>
          <w:rFonts w:hint="eastAsia" w:ascii="仿宋_GB2312" w:hAnsi="楷体" w:eastAsia="仿宋_GB2312"/>
          <w:color w:val="000000" w:themeColor="text1"/>
          <w:highlight w:val="none"/>
          <w14:textFill>
            <w14:solidFill>
              <w14:schemeClr w14:val="tx1"/>
            </w14:solidFill>
          </w14:textFill>
        </w:rPr>
        <w:t>.充分利用数据资源库</w:t>
      </w:r>
      <w:bookmarkEnd w:id="556"/>
      <w:bookmarkEnd w:id="557"/>
      <w:bookmarkEnd w:id="558"/>
      <w:bookmarkEnd w:id="559"/>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color w:val="000000" w:themeColor="text1"/>
          <w:kern w:val="0"/>
          <w:sz w:val="32"/>
          <w:szCs w:val="32"/>
          <w:highlight w:val="none"/>
          <w14:textFill>
            <w14:solidFill>
              <w14:schemeClr w14:val="tx1"/>
            </w14:solidFill>
          </w14:textFill>
        </w:rPr>
        <w:t>充分利用省市搭建的统一自然人基础信息库、统一法人单位基础信息库、统一社会信用信息库、统一自然资源和空间地理基础信息库等的数据资源，加快推进网上全流程审批工作。配合市建立完善统一电子证照库、重点领域专题库。</w:t>
      </w:r>
    </w:p>
    <w:p>
      <w:pPr>
        <w:pStyle w:val="4"/>
        <w:keepNext w:val="0"/>
        <w:keepLines w:val="0"/>
        <w:spacing w:before="0" w:after="0" w:line="560" w:lineRule="exact"/>
        <w:ind w:left="567"/>
        <w:rPr>
          <w:rFonts w:ascii="仿宋_GB2312" w:hAnsi="楷体" w:eastAsia="仿宋_GB2312"/>
          <w:color w:val="000000" w:themeColor="text1"/>
          <w:highlight w:val="none"/>
          <w14:textFill>
            <w14:solidFill>
              <w14:schemeClr w14:val="tx1"/>
            </w14:solidFill>
          </w14:textFill>
        </w:rPr>
      </w:pPr>
      <w:bookmarkStart w:id="560" w:name="_Toc72936869"/>
      <w:bookmarkStart w:id="561" w:name="_Toc75790530"/>
      <w:bookmarkStart w:id="562" w:name="_Toc63303020"/>
      <w:bookmarkStart w:id="563" w:name="_Toc58933709"/>
      <w:bookmarkStart w:id="564" w:name="_Toc64873736"/>
      <w:bookmarkStart w:id="565" w:name="_Toc63751430"/>
      <w:bookmarkStart w:id="566" w:name="_Toc64863239"/>
      <w:bookmarkStart w:id="567" w:name="_Toc59121380"/>
      <w:bookmarkStart w:id="568" w:name="_Toc58916874"/>
      <w:bookmarkStart w:id="569" w:name="_Toc67470156"/>
      <w:bookmarkStart w:id="570" w:name="_Toc68615377"/>
      <w:bookmarkStart w:id="571" w:name="_Toc64866101"/>
      <w:bookmarkStart w:id="572" w:name="_Toc57017193"/>
      <w:bookmarkStart w:id="573" w:name="_Toc57015362"/>
      <w:bookmarkStart w:id="574" w:name="_Toc56410756"/>
      <w:bookmarkStart w:id="575" w:name="_Toc57015469"/>
      <w:bookmarkStart w:id="576" w:name="_Toc57929349"/>
      <w:bookmarkStart w:id="577" w:name="_Toc56903807"/>
      <w:bookmarkStart w:id="578" w:name="_Toc58569978"/>
      <w:bookmarkStart w:id="579" w:name="_Toc57598722"/>
      <w:r>
        <w:rPr>
          <w:rFonts w:ascii="仿宋_GB2312" w:hAnsi="楷体" w:eastAsia="仿宋_GB2312"/>
          <w:color w:val="000000" w:themeColor="text1"/>
          <w:highlight w:val="none"/>
          <w14:textFill>
            <w14:solidFill>
              <w14:schemeClr w14:val="tx1"/>
            </w14:solidFill>
          </w14:textFill>
        </w:rPr>
        <w:t>3</w:t>
      </w:r>
      <w:r>
        <w:rPr>
          <w:rFonts w:hint="eastAsia" w:ascii="仿宋_GB2312" w:hAnsi="楷体" w:eastAsia="仿宋_GB2312"/>
          <w:color w:val="000000" w:themeColor="text1"/>
          <w:highlight w:val="none"/>
          <w14:textFill>
            <w14:solidFill>
              <w14:schemeClr w14:val="tx1"/>
            </w14:solidFill>
          </w14:textFill>
        </w:rPr>
        <w:t>.推进政务大数据共享应用</w:t>
      </w:r>
      <w:bookmarkEnd w:id="560"/>
      <w:bookmarkEnd w:id="561"/>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color w:val="000000" w:themeColor="text1"/>
          <w:kern w:val="0"/>
          <w:sz w:val="32"/>
          <w:szCs w:val="32"/>
          <w:highlight w:val="none"/>
          <w14:textFill>
            <w14:solidFill>
              <w14:schemeClr w14:val="tx1"/>
            </w14:solidFill>
          </w14:textFill>
        </w:rPr>
        <w:t>建设区级政务信息资源共享交换平台，加快推进全区政务信息资源目录和信息共享目录的梳理，统筹全区各业务系统按统一规范接入区级数据共享交换平台，加快实现与省、市级共享平台全面对接，提升信息资源共享交换，打造数据共享、业务协同的政务服务体系。梳理经开区重点领域大数据应用场景，做好信息系统重点对接和数据共享开放工作，促进跨部门、跨地域、跨层级、跨系统的数据交换与共享，归集全区关键政务数据，推进全区大数据综合管理与开发利用，为政府管理、社会治理、市场监管提供有效数据支撑。依托“开放广东”湛江市政府数据开放平台，进一步优化开放目录，实现信用、交通、医疗、社保、教育、科技、环境、安监、金融、统计、气象等领域政府数据开放</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p>
    <w:p>
      <w:pPr>
        <w:pStyle w:val="4"/>
        <w:keepNext w:val="0"/>
        <w:keepLines w:val="0"/>
        <w:spacing w:before="0" w:after="0" w:line="560" w:lineRule="exact"/>
        <w:ind w:left="567"/>
        <w:rPr>
          <w:rFonts w:ascii="仿宋_GB2312" w:hAnsi="楷体" w:eastAsia="仿宋_GB2312"/>
          <w:color w:val="000000" w:themeColor="text1"/>
          <w:highlight w:val="none"/>
          <w14:textFill>
            <w14:solidFill>
              <w14:schemeClr w14:val="tx1"/>
            </w14:solidFill>
          </w14:textFill>
        </w:rPr>
      </w:pPr>
      <w:bookmarkStart w:id="580" w:name="_Toc75790531"/>
      <w:r>
        <w:rPr>
          <w:rFonts w:ascii="仿宋_GB2312" w:hAnsi="楷体" w:eastAsia="仿宋_GB2312"/>
          <w:color w:val="000000" w:themeColor="text1"/>
          <w:highlight w:val="none"/>
          <w14:textFill>
            <w14:solidFill>
              <w14:schemeClr w14:val="tx1"/>
            </w14:solidFill>
          </w14:textFill>
        </w:rPr>
        <w:t>4</w:t>
      </w:r>
      <w:r>
        <w:rPr>
          <w:rFonts w:hint="eastAsia" w:ascii="仿宋_GB2312" w:hAnsi="楷体" w:eastAsia="仿宋_GB2312"/>
          <w:color w:val="000000" w:themeColor="text1"/>
          <w:highlight w:val="none"/>
          <w14:textFill>
            <w14:solidFill>
              <w14:schemeClr w14:val="tx1"/>
            </w14:solidFill>
          </w14:textFill>
        </w:rPr>
        <w:t>.加强数字决策分析</w:t>
      </w:r>
      <w:bookmarkEnd w:id="562"/>
      <w:bookmarkEnd w:id="563"/>
      <w:bookmarkEnd w:id="564"/>
      <w:bookmarkEnd w:id="565"/>
      <w:bookmarkEnd w:id="566"/>
      <w:bookmarkEnd w:id="567"/>
      <w:bookmarkEnd w:id="568"/>
      <w:bookmarkEnd w:id="569"/>
      <w:bookmarkEnd w:id="570"/>
      <w:bookmarkEnd w:id="571"/>
      <w:r>
        <w:rPr>
          <w:rFonts w:hint="eastAsia" w:ascii="仿宋_GB2312" w:hAnsi="楷体" w:eastAsia="仿宋_GB2312"/>
          <w:color w:val="000000" w:themeColor="text1"/>
          <w:highlight w:val="none"/>
          <w14:textFill>
            <w14:solidFill>
              <w14:schemeClr w14:val="tx1"/>
            </w14:solidFill>
          </w14:textFill>
        </w:rPr>
        <w:t>的开发及应用</w:t>
      </w:r>
      <w:bookmarkEnd w:id="580"/>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color w:val="000000" w:themeColor="text1"/>
          <w:kern w:val="0"/>
          <w:sz w:val="32"/>
          <w:szCs w:val="32"/>
          <w:highlight w:val="none"/>
          <w14:textFill>
            <w14:solidFill>
              <w14:schemeClr w14:val="tx1"/>
            </w14:solidFill>
          </w14:textFill>
        </w:rPr>
        <w:t>围绕经开区各领域的应用需求，在充分整合跨部门、跨层级数据资源的基础上，形成决策支撑信息及时、准确、有效地汇聚利用，充分利用大数据思维，运用知识化、模型化、可视化、智能化等技术手段提升政府科学决策水平，为</w:t>
      </w:r>
      <w:r>
        <w:rPr>
          <w:rFonts w:ascii="仿宋_GB2312" w:hAnsi="仿宋" w:eastAsia="仿宋_GB2312" w:cs="E-BX"/>
          <w:color w:val="000000" w:themeColor="text1"/>
          <w:kern w:val="0"/>
          <w:sz w:val="32"/>
          <w:szCs w:val="32"/>
          <w:highlight w:val="none"/>
          <w14:textFill>
            <w14:solidFill>
              <w14:schemeClr w14:val="tx1"/>
            </w14:solidFill>
          </w14:textFill>
        </w:rPr>
        <w:t>政务服务、</w:t>
      </w:r>
      <w:r>
        <w:rPr>
          <w:rFonts w:hint="eastAsia" w:ascii="仿宋_GB2312" w:hAnsi="仿宋" w:eastAsia="仿宋_GB2312" w:cs="E-BX"/>
          <w:color w:val="000000" w:themeColor="text1"/>
          <w:kern w:val="0"/>
          <w:sz w:val="32"/>
          <w:szCs w:val="32"/>
          <w:highlight w:val="none"/>
          <w14:textFill>
            <w14:solidFill>
              <w14:schemeClr w14:val="tx1"/>
            </w14:solidFill>
          </w14:textFill>
        </w:rPr>
        <w:t>经济发展、企业运营、城区管理、</w:t>
      </w:r>
      <w:r>
        <w:rPr>
          <w:rFonts w:ascii="仿宋_GB2312" w:hAnsi="仿宋" w:eastAsia="仿宋_GB2312" w:cs="E-BX"/>
          <w:color w:val="000000" w:themeColor="text1"/>
          <w:kern w:val="0"/>
          <w:sz w:val="32"/>
          <w:szCs w:val="32"/>
          <w:highlight w:val="none"/>
          <w14:textFill>
            <w14:solidFill>
              <w14:schemeClr w14:val="tx1"/>
            </w14:solidFill>
          </w14:textFill>
        </w:rPr>
        <w:t>公共服务、生态环境</w:t>
      </w:r>
      <w:r>
        <w:rPr>
          <w:rFonts w:hint="eastAsia" w:ascii="仿宋_GB2312" w:hAnsi="仿宋" w:eastAsia="仿宋_GB2312" w:cs="E-BX"/>
          <w:color w:val="000000" w:themeColor="text1"/>
          <w:kern w:val="0"/>
          <w:sz w:val="32"/>
          <w:szCs w:val="32"/>
          <w:highlight w:val="none"/>
          <w14:textFill>
            <w14:solidFill>
              <w14:schemeClr w14:val="tx1"/>
            </w14:solidFill>
          </w14:textFill>
        </w:rPr>
        <w:t>、社会治理、</w:t>
      </w:r>
      <w:r>
        <w:rPr>
          <w:rFonts w:ascii="仿宋_GB2312" w:hAnsi="仿宋" w:eastAsia="仿宋_GB2312" w:cs="E-BX"/>
          <w:color w:val="000000" w:themeColor="text1"/>
          <w:kern w:val="0"/>
          <w:sz w:val="32"/>
          <w:szCs w:val="32"/>
          <w:highlight w:val="none"/>
          <w14:textFill>
            <w14:solidFill>
              <w14:schemeClr w14:val="tx1"/>
            </w14:solidFill>
          </w14:textFill>
        </w:rPr>
        <w:t>应急联动</w:t>
      </w:r>
      <w:r>
        <w:rPr>
          <w:rFonts w:hint="eastAsia" w:ascii="仿宋_GB2312" w:hAnsi="仿宋" w:eastAsia="仿宋_GB2312" w:cs="E-BX"/>
          <w:color w:val="000000" w:themeColor="text1"/>
          <w:kern w:val="0"/>
          <w:sz w:val="32"/>
          <w:szCs w:val="32"/>
          <w:highlight w:val="none"/>
          <w14:textFill>
            <w14:solidFill>
              <w14:schemeClr w14:val="tx1"/>
            </w14:solidFill>
          </w14:textFill>
        </w:rPr>
        <w:t>等方面的科学决策提供科学、全面、精准、及时的大数据服务支撑。进一步完善经开区数字决策分析平台，辅助各级、各部门领导精准决策。推进跨部门协同联动的决策机制建设，加大决策过程的社会参与程度，提升决策过程的规范性、透明性，提升决策结果的整体性、平衡性、科学性和适用性。</w:t>
      </w:r>
    </w:p>
    <w:p>
      <w:pPr>
        <w:pStyle w:val="4"/>
        <w:keepNext w:val="0"/>
        <w:keepLines w:val="0"/>
        <w:spacing w:before="0" w:after="0" w:line="560" w:lineRule="exact"/>
        <w:ind w:left="567"/>
        <w:rPr>
          <w:rFonts w:ascii="仿宋_GB2312" w:hAnsi="楷体" w:eastAsia="仿宋_GB2312"/>
          <w:color w:val="000000" w:themeColor="text1"/>
          <w:highlight w:val="none"/>
          <w14:textFill>
            <w14:solidFill>
              <w14:schemeClr w14:val="tx1"/>
            </w14:solidFill>
          </w14:textFill>
        </w:rPr>
      </w:pPr>
      <w:bookmarkStart w:id="581" w:name="_Toc75790532"/>
      <w:bookmarkStart w:id="582" w:name="_Hlk73685701"/>
      <w:r>
        <w:rPr>
          <w:rFonts w:ascii="仿宋_GB2312" w:hAnsi="楷体" w:eastAsia="仿宋_GB2312"/>
          <w:color w:val="000000" w:themeColor="text1"/>
          <w:highlight w:val="none"/>
          <w14:textFill>
            <w14:solidFill>
              <w14:schemeClr w14:val="tx1"/>
            </w14:solidFill>
          </w14:textFill>
        </w:rPr>
        <w:t>5.</w:t>
      </w:r>
      <w:r>
        <w:rPr>
          <w:rFonts w:hint="eastAsia" w:ascii="仿宋_GB2312" w:hAnsi="楷体" w:eastAsia="仿宋_GB2312"/>
          <w:color w:val="000000" w:themeColor="text1"/>
          <w:highlight w:val="none"/>
          <w14:textFill>
            <w14:solidFill>
              <w14:schemeClr w14:val="tx1"/>
            </w14:solidFill>
          </w14:textFill>
        </w:rPr>
        <w:t>推动</w:t>
      </w:r>
      <w:r>
        <w:rPr>
          <w:rFonts w:ascii="仿宋_GB2312" w:hAnsi="楷体" w:eastAsia="仿宋_GB2312"/>
          <w:color w:val="000000" w:themeColor="text1"/>
          <w:highlight w:val="none"/>
          <w14:textFill>
            <w14:solidFill>
              <w14:schemeClr w14:val="tx1"/>
            </w14:solidFill>
          </w14:textFill>
        </w:rPr>
        <w:t>数据交易流通</w:t>
      </w:r>
      <w:bookmarkEnd w:id="581"/>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color w:val="000000" w:themeColor="text1"/>
          <w:kern w:val="0"/>
          <w:sz w:val="32"/>
          <w:szCs w:val="32"/>
          <w:highlight w:val="none"/>
          <w14:textFill>
            <w14:solidFill>
              <w14:schemeClr w14:val="tx1"/>
            </w14:solidFill>
          </w14:textFill>
        </w:rPr>
        <w:t>做好全区各级行政机关和公共企事业单位的政务信息化能力和公共数据资源普查，摸清公共数据资源家底，同步做好视频和感知资源整合，配合省形成资源全省“一本账”。依托广东省数据要素交易流通机制和体系，复制大湾区数据交易先进经验，保护数据主体权益，推进数据资产化管理，促进数据交易市场建设，推动数据要素与大湾区交互流动。基于市级建立数据交易流通监管体系，落实数据交易各环节的监管制度，应用省数据流通监管平台，实现数据资源流通全程可视、状态可察、权益可管、权限可控、流动追溯，保障数据资源的充分开发和有序利用。</w:t>
      </w:r>
    </w:p>
    <w:bookmarkEnd w:id="572"/>
    <w:bookmarkEnd w:id="573"/>
    <w:bookmarkEnd w:id="574"/>
    <w:bookmarkEnd w:id="575"/>
    <w:bookmarkEnd w:id="576"/>
    <w:bookmarkEnd w:id="577"/>
    <w:bookmarkEnd w:id="578"/>
    <w:bookmarkEnd w:id="579"/>
    <w:bookmarkEnd w:id="582"/>
    <w:p>
      <w:pPr>
        <w:widowControl/>
        <w:spacing w:line="560" w:lineRule="exact"/>
        <w:ind w:firstLine="640" w:firstLineChars="200"/>
        <w:jc w:val="left"/>
        <w:outlineLvl w:val="1"/>
        <w:rPr>
          <w:rFonts w:ascii="楷体_GB2312" w:hAnsi="黑体" w:eastAsia="楷体_GB2312" w:cs="仿宋_GB2312"/>
          <w:color w:val="000000" w:themeColor="text1"/>
          <w:kern w:val="0"/>
          <w:sz w:val="32"/>
          <w:szCs w:val="32"/>
          <w:highlight w:val="none"/>
          <w14:textFill>
            <w14:solidFill>
              <w14:schemeClr w14:val="tx1"/>
            </w14:solidFill>
          </w14:textFill>
        </w:rPr>
      </w:pPr>
      <w:bookmarkStart w:id="583" w:name="_Toc75790533"/>
      <w:r>
        <w:rPr>
          <w:rFonts w:hint="eastAsia" w:ascii="楷体_GB2312" w:hAnsi="黑体" w:eastAsia="楷体_GB2312" w:cs="仿宋_GB2312"/>
          <w:color w:val="000000" w:themeColor="text1"/>
          <w:kern w:val="0"/>
          <w:sz w:val="32"/>
          <w:szCs w:val="32"/>
          <w:highlight w:val="none"/>
          <w14:textFill>
            <w14:solidFill>
              <w14:schemeClr w14:val="tx1"/>
            </w14:solidFill>
          </w14:textFill>
        </w:rPr>
        <w:t>（三）公共支撑平台</w:t>
      </w:r>
      <w:bookmarkEnd w:id="583"/>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color w:val="000000" w:themeColor="text1"/>
          <w:kern w:val="0"/>
          <w:sz w:val="32"/>
          <w:szCs w:val="32"/>
          <w:highlight w:val="none"/>
          <w14:textFill>
            <w14:solidFill>
              <w14:schemeClr w14:val="tx1"/>
            </w14:solidFill>
          </w14:textFill>
        </w:rPr>
        <w:t>围绕数字政府建设对新一代信息技术应用需求，统筹推进共性技术能力支撑平台建设，避免各部门重复投入，形成面向全区的政务应用公共支撑平台，以应用促进全区智能化发展。</w:t>
      </w:r>
    </w:p>
    <w:p>
      <w:pPr>
        <w:pStyle w:val="4"/>
        <w:keepNext w:val="0"/>
        <w:keepLines w:val="0"/>
        <w:spacing w:before="0" w:after="0" w:line="560" w:lineRule="exact"/>
        <w:ind w:left="567"/>
        <w:rPr>
          <w:rFonts w:ascii="仿宋_GB2312" w:hAnsi="楷体" w:eastAsia="仿宋_GB2312"/>
          <w:color w:val="000000" w:themeColor="text1"/>
          <w:highlight w:val="none"/>
          <w14:textFill>
            <w14:solidFill>
              <w14:schemeClr w14:val="tx1"/>
            </w14:solidFill>
          </w14:textFill>
        </w:rPr>
      </w:pPr>
      <w:bookmarkStart w:id="584" w:name="_Toc63303028"/>
      <w:bookmarkStart w:id="585" w:name="_Toc59121389"/>
      <w:bookmarkStart w:id="586" w:name="_Toc58933718"/>
      <w:bookmarkStart w:id="587" w:name="_Toc64866109"/>
      <w:bookmarkStart w:id="588" w:name="_Toc64873744"/>
      <w:bookmarkStart w:id="589" w:name="_Toc58569987"/>
      <w:bookmarkStart w:id="590" w:name="_Toc64863247"/>
      <w:bookmarkStart w:id="591" w:name="_Toc68615381"/>
      <w:bookmarkStart w:id="592" w:name="_Toc63751438"/>
      <w:bookmarkStart w:id="593" w:name="_Toc67470160"/>
      <w:bookmarkStart w:id="594" w:name="_Toc57598731"/>
      <w:bookmarkStart w:id="595" w:name="_Toc75790534"/>
      <w:bookmarkStart w:id="596" w:name="_Toc58916883"/>
      <w:bookmarkStart w:id="597" w:name="_Toc57929358"/>
      <w:r>
        <w:rPr>
          <w:rFonts w:hint="eastAsia" w:ascii="仿宋_GB2312" w:hAnsi="楷体" w:eastAsia="仿宋_GB2312"/>
          <w:color w:val="000000" w:themeColor="text1"/>
          <w:highlight w:val="none"/>
          <w14:textFill>
            <w14:solidFill>
              <w14:schemeClr w14:val="tx1"/>
            </w14:solidFill>
          </w14:textFill>
        </w:rPr>
        <w:t>1</w:t>
      </w:r>
      <w:r>
        <w:rPr>
          <w:rFonts w:ascii="仿宋_GB2312" w:hAnsi="楷体" w:eastAsia="仿宋_GB2312"/>
          <w:color w:val="000000" w:themeColor="text1"/>
          <w:highlight w:val="none"/>
          <w14:textFill>
            <w14:solidFill>
              <w14:schemeClr w14:val="tx1"/>
            </w14:solidFill>
          </w14:textFill>
        </w:rPr>
        <w:t>.</w:t>
      </w:r>
      <w:r>
        <w:rPr>
          <w:rFonts w:hint="eastAsia" w:ascii="仿宋_GB2312" w:hAnsi="楷体" w:eastAsia="仿宋_GB2312"/>
          <w:color w:val="000000" w:themeColor="text1"/>
          <w:highlight w:val="none"/>
          <w14:textFill>
            <w14:solidFill>
              <w14:schemeClr w14:val="tx1"/>
            </w14:solidFill>
          </w14:textFill>
        </w:rPr>
        <w:t>对接</w:t>
      </w:r>
      <w:r>
        <w:rPr>
          <w:rFonts w:hint="eastAsia" w:ascii="仿宋_GB2312" w:hAnsi="仿宋" w:eastAsia="仿宋_GB2312" w:cs="E-BX"/>
          <w:color w:val="000000" w:themeColor="text1"/>
          <w:kern w:val="0"/>
          <w:highlight w:val="none"/>
          <w14:textFill>
            <w14:solidFill>
              <w14:schemeClr w14:val="tx1"/>
            </w14:solidFill>
          </w14:textFill>
        </w:rPr>
        <w:t>省市</w:t>
      </w:r>
      <w:r>
        <w:rPr>
          <w:rFonts w:hint="eastAsia" w:ascii="仿宋_GB2312" w:hAnsi="楷体" w:eastAsia="仿宋_GB2312"/>
          <w:color w:val="000000" w:themeColor="text1"/>
          <w:highlight w:val="none"/>
          <w14:textFill>
            <w14:solidFill>
              <w14:schemeClr w14:val="tx1"/>
            </w14:solidFill>
          </w14:textFill>
        </w:rPr>
        <w:t>级公共支撑平台</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color w:val="000000" w:themeColor="text1"/>
          <w:kern w:val="0"/>
          <w:sz w:val="32"/>
          <w:szCs w:val="32"/>
          <w:highlight w:val="none"/>
          <w14:textFill>
            <w14:solidFill>
              <w14:schemeClr w14:val="tx1"/>
            </w14:solidFill>
          </w14:textFill>
        </w:rPr>
        <w:t>推进省、市级公共支撑平台应用，包括统一身份认证平台、可信电子证照系统、地理信息公共平台、社会信用公共平台、电子印章系统、电子签名系统、非税支付平台和智能客服平台，实现信息数据向省、市公共支撑平台归集，完善相关配套系统建设，提升全区政务应用的公共支撑能力。</w:t>
      </w:r>
    </w:p>
    <w:p>
      <w:pPr>
        <w:pStyle w:val="4"/>
        <w:keepNext w:val="0"/>
        <w:keepLines w:val="0"/>
        <w:spacing w:before="0" w:after="0" w:line="560" w:lineRule="exact"/>
        <w:ind w:left="567"/>
        <w:rPr>
          <w:rFonts w:ascii="仿宋_GB2312" w:hAnsi="楷体" w:eastAsia="仿宋_GB2312"/>
          <w:color w:val="000000" w:themeColor="text1"/>
          <w:highlight w:val="none"/>
          <w14:textFill>
            <w14:solidFill>
              <w14:schemeClr w14:val="tx1"/>
            </w14:solidFill>
          </w14:textFill>
        </w:rPr>
      </w:pPr>
      <w:bookmarkStart w:id="598" w:name="_Toc63303029"/>
      <w:bookmarkStart w:id="599" w:name="_Toc58916884"/>
      <w:bookmarkStart w:id="600" w:name="_Toc57598732"/>
      <w:bookmarkStart w:id="601" w:name="_Toc64873745"/>
      <w:bookmarkStart w:id="602" w:name="_Toc67470161"/>
      <w:bookmarkStart w:id="603" w:name="_Toc58569988"/>
      <w:bookmarkStart w:id="604" w:name="_Toc68615382"/>
      <w:bookmarkStart w:id="605" w:name="_Toc64863248"/>
      <w:bookmarkStart w:id="606" w:name="_Toc58933719"/>
      <w:bookmarkStart w:id="607" w:name="_Toc64866110"/>
      <w:bookmarkStart w:id="608" w:name="_Toc59121390"/>
      <w:bookmarkStart w:id="609" w:name="_Toc63751439"/>
      <w:bookmarkStart w:id="610" w:name="_Toc57929359"/>
      <w:bookmarkStart w:id="611" w:name="_Toc75790535"/>
      <w:r>
        <w:rPr>
          <w:rFonts w:ascii="仿宋_GB2312" w:hAnsi="楷体" w:eastAsia="仿宋_GB2312"/>
          <w:color w:val="000000" w:themeColor="text1"/>
          <w:highlight w:val="none"/>
          <w14:textFill>
            <w14:solidFill>
              <w14:schemeClr w14:val="tx1"/>
            </w14:solidFill>
          </w14:textFill>
        </w:rPr>
        <w:t>2.建设物联网管理平台</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color w:val="000000" w:themeColor="text1"/>
          <w:kern w:val="0"/>
          <w:sz w:val="32"/>
          <w:szCs w:val="32"/>
          <w:highlight w:val="none"/>
          <w14:textFill>
            <w14:solidFill>
              <w14:schemeClr w14:val="tx1"/>
            </w14:solidFill>
          </w14:textFill>
        </w:rPr>
        <w:t>建设</w:t>
      </w:r>
      <w:r>
        <w:rPr>
          <w:rFonts w:ascii="仿宋_GB2312" w:hAnsi="仿宋" w:eastAsia="仿宋_GB2312" w:cs="E-BX"/>
          <w:color w:val="000000" w:themeColor="text1"/>
          <w:kern w:val="0"/>
          <w:sz w:val="32"/>
          <w:szCs w:val="32"/>
          <w:highlight w:val="none"/>
          <w14:textFill>
            <w14:solidFill>
              <w14:schemeClr w14:val="tx1"/>
            </w14:solidFill>
          </w14:textFill>
        </w:rPr>
        <w:t>物联网管理平台</w:t>
      </w:r>
      <w:r>
        <w:rPr>
          <w:rFonts w:hint="eastAsia" w:ascii="仿宋_GB2312" w:hAnsi="仿宋" w:eastAsia="仿宋_GB2312" w:cs="E-BX"/>
          <w:color w:val="000000" w:themeColor="text1"/>
          <w:kern w:val="0"/>
          <w:sz w:val="32"/>
          <w:szCs w:val="32"/>
          <w:highlight w:val="none"/>
          <w14:textFill>
            <w14:solidFill>
              <w14:schemeClr w14:val="tx1"/>
            </w14:solidFill>
          </w14:textFill>
        </w:rPr>
        <w:t>，提供城区的物联网设备管理、数据汇聚、应用开发和业务分析等服务，形成经开区全区物联网设备集中管理入口和数据汇集枢纽，支撑各部门和跨领域的物联网应用部署。</w:t>
      </w:r>
    </w:p>
    <w:p>
      <w:pPr>
        <w:pStyle w:val="4"/>
        <w:keepNext w:val="0"/>
        <w:keepLines w:val="0"/>
        <w:spacing w:before="0" w:after="0" w:line="560" w:lineRule="exact"/>
        <w:ind w:left="567"/>
        <w:rPr>
          <w:rFonts w:ascii="仿宋_GB2312" w:hAnsi="楷体" w:eastAsia="仿宋_GB2312"/>
          <w:color w:val="000000" w:themeColor="text1"/>
          <w:highlight w:val="none"/>
          <w14:textFill>
            <w14:solidFill>
              <w14:schemeClr w14:val="tx1"/>
            </w14:solidFill>
          </w14:textFill>
        </w:rPr>
      </w:pPr>
      <w:bookmarkStart w:id="612" w:name="_Toc57598733"/>
      <w:bookmarkStart w:id="613" w:name="_Toc63751440"/>
      <w:bookmarkStart w:id="614" w:name="_Toc58916885"/>
      <w:bookmarkStart w:id="615" w:name="_Toc63303030"/>
      <w:bookmarkStart w:id="616" w:name="_Toc75790536"/>
      <w:bookmarkStart w:id="617" w:name="_Toc67470162"/>
      <w:bookmarkStart w:id="618" w:name="_Toc64866111"/>
      <w:bookmarkStart w:id="619" w:name="_Toc64873746"/>
      <w:bookmarkStart w:id="620" w:name="_Toc57929360"/>
      <w:bookmarkStart w:id="621" w:name="_Toc68615383"/>
      <w:bookmarkStart w:id="622" w:name="_Toc59121391"/>
      <w:bookmarkStart w:id="623" w:name="_Toc64863249"/>
      <w:bookmarkStart w:id="624" w:name="_Toc58569989"/>
      <w:bookmarkStart w:id="625" w:name="_Toc58933720"/>
      <w:r>
        <w:rPr>
          <w:rFonts w:ascii="仿宋_GB2312" w:hAnsi="楷体" w:eastAsia="仿宋_GB2312"/>
          <w:color w:val="000000" w:themeColor="text1"/>
          <w:highlight w:val="none"/>
          <w14:textFill>
            <w14:solidFill>
              <w14:schemeClr w14:val="tx1"/>
            </w14:solidFill>
          </w14:textFill>
        </w:rPr>
        <w:t>3.建设</w:t>
      </w:r>
      <w:r>
        <w:rPr>
          <w:rFonts w:ascii="仿宋_GB2312" w:hAnsi="仿宋" w:eastAsia="仿宋_GB2312" w:cs="E-BX"/>
          <w:color w:val="000000" w:themeColor="text1"/>
          <w:kern w:val="0"/>
          <w:highlight w:val="none"/>
          <w14:textFill>
            <w14:solidFill>
              <w14:schemeClr w14:val="tx1"/>
            </w14:solidFill>
          </w14:textFill>
        </w:rPr>
        <w:t>视频信息管理平台</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color w:val="000000" w:themeColor="text1"/>
          <w:kern w:val="0"/>
          <w:sz w:val="32"/>
          <w:szCs w:val="32"/>
          <w:highlight w:val="none"/>
          <w14:textFill>
            <w14:solidFill>
              <w14:schemeClr w14:val="tx1"/>
            </w14:solidFill>
          </w14:textFill>
        </w:rPr>
        <w:t>建设</w:t>
      </w:r>
      <w:r>
        <w:rPr>
          <w:rFonts w:ascii="仿宋_GB2312" w:hAnsi="仿宋" w:eastAsia="仿宋_GB2312" w:cs="E-BX"/>
          <w:color w:val="000000" w:themeColor="text1"/>
          <w:kern w:val="0"/>
          <w:sz w:val="32"/>
          <w:szCs w:val="32"/>
          <w:highlight w:val="none"/>
          <w14:textFill>
            <w14:solidFill>
              <w14:schemeClr w14:val="tx1"/>
            </w14:solidFill>
          </w14:textFill>
        </w:rPr>
        <w:t>视频信息管理平台</w:t>
      </w:r>
      <w:r>
        <w:rPr>
          <w:rFonts w:hint="eastAsia" w:ascii="仿宋_GB2312" w:hAnsi="仿宋" w:eastAsia="仿宋_GB2312" w:cs="E-BX"/>
          <w:color w:val="000000" w:themeColor="text1"/>
          <w:kern w:val="0"/>
          <w:sz w:val="32"/>
          <w:szCs w:val="32"/>
          <w:highlight w:val="none"/>
          <w14:textFill>
            <w14:solidFill>
              <w14:schemeClr w14:val="tx1"/>
            </w14:solidFill>
          </w14:textFill>
        </w:rPr>
        <w:t>。汇聚社会治安和城市管理视频资源，实现对全区视频资源的统一接入、共享交换。依托市政务云平台，打造全区统一的视频云存储资源池，为全区视频提供弹性可扩展的存储空间。科学梳理不同部门的视频图像数据资源及需求并将其纳入经开区数据平台集中管理，为数字政府建设提供多源信息采集、海量数据汇聚、智能分析处理、大数据深度挖掘、城区态势展报、惠民信息等多样化服务。</w:t>
      </w:r>
    </w:p>
    <w:p>
      <w:pPr>
        <w:pStyle w:val="2"/>
        <w:keepNext/>
        <w:keepLines/>
        <w:widowControl w:val="0"/>
        <w:spacing w:before="0" w:beforeAutospacing="0" w:after="0" w:afterAutospacing="0" w:line="579" w:lineRule="exact"/>
        <w:ind w:firstLine="640" w:firstLineChars="200"/>
        <w:jc w:val="both"/>
        <w:rPr>
          <w:rFonts w:ascii="Times New Roman" w:hAnsi="黑体" w:eastAsia="黑体" w:cs="Times New Roman"/>
          <w:b w:val="0"/>
          <w:color w:val="000000" w:themeColor="text1"/>
          <w:kern w:val="44"/>
          <w:sz w:val="32"/>
          <w:szCs w:val="32"/>
          <w:highlight w:val="none"/>
          <w:lang w:val="zh-CN"/>
          <w14:textFill>
            <w14:solidFill>
              <w14:schemeClr w14:val="tx1"/>
            </w14:solidFill>
          </w14:textFill>
        </w:rPr>
      </w:pPr>
      <w:bookmarkStart w:id="626" w:name="_Toc75790537"/>
      <w:r>
        <w:rPr>
          <w:rFonts w:hint="eastAsia" w:ascii="Times New Roman" w:hAnsi="黑体" w:eastAsia="黑体" w:cs="Times New Roman"/>
          <w:b w:val="0"/>
          <w:color w:val="000000" w:themeColor="text1"/>
          <w:kern w:val="44"/>
          <w:sz w:val="32"/>
          <w:szCs w:val="32"/>
          <w:highlight w:val="none"/>
          <w:lang w:val="zh-CN"/>
          <w14:textFill>
            <w14:solidFill>
              <w14:schemeClr w14:val="tx1"/>
            </w14:solidFill>
          </w14:textFill>
        </w:rPr>
        <w:t>六、深耕智慧创新的数字应用</w:t>
      </w:r>
      <w:bookmarkEnd w:id="626"/>
    </w:p>
    <w:p>
      <w:pPr>
        <w:widowControl/>
        <w:spacing w:line="560" w:lineRule="exact"/>
        <w:ind w:firstLine="640" w:firstLineChars="200"/>
        <w:jc w:val="left"/>
        <w:outlineLvl w:val="1"/>
        <w:rPr>
          <w:rFonts w:ascii="楷体_GB2312" w:hAnsi="黑体" w:eastAsia="楷体_GB2312" w:cs="仿宋_GB2312"/>
          <w:color w:val="000000" w:themeColor="text1"/>
          <w:kern w:val="0"/>
          <w:sz w:val="32"/>
          <w:szCs w:val="32"/>
          <w:highlight w:val="none"/>
          <w14:textFill>
            <w14:solidFill>
              <w14:schemeClr w14:val="tx1"/>
            </w14:solidFill>
          </w14:textFill>
        </w:rPr>
      </w:pPr>
      <w:bookmarkStart w:id="627" w:name="_Toc75790538"/>
      <w:r>
        <w:rPr>
          <w:rFonts w:hint="eastAsia" w:ascii="楷体_GB2312" w:hAnsi="黑体" w:eastAsia="楷体_GB2312" w:cs="仿宋_GB2312"/>
          <w:color w:val="000000" w:themeColor="text1"/>
          <w:kern w:val="0"/>
          <w:sz w:val="32"/>
          <w:szCs w:val="32"/>
          <w:highlight w:val="none"/>
          <w14:textFill>
            <w14:solidFill>
              <w14:schemeClr w14:val="tx1"/>
            </w14:solidFill>
          </w14:textFill>
        </w:rPr>
        <w:t>（一）数字提升政务服务</w:t>
      </w:r>
      <w:bookmarkEnd w:id="627"/>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color w:val="000000" w:themeColor="text1"/>
          <w:kern w:val="0"/>
          <w:sz w:val="32"/>
          <w:szCs w:val="32"/>
          <w:highlight w:val="none"/>
          <w14:textFill>
            <w14:solidFill>
              <w14:schemeClr w14:val="tx1"/>
            </w14:solidFill>
          </w14:textFill>
        </w:rPr>
        <w:t>以群众和企业的政务服务需求为导向，</w:t>
      </w:r>
      <w:r>
        <w:rPr>
          <w:rFonts w:ascii="仿宋_GB2312" w:hAnsi="仿宋" w:eastAsia="仿宋_GB2312" w:cs="E-BX"/>
          <w:color w:val="000000" w:themeColor="text1"/>
          <w:kern w:val="0"/>
          <w:sz w:val="32"/>
          <w:szCs w:val="32"/>
          <w:highlight w:val="none"/>
          <w14:textFill>
            <w14:solidFill>
              <w14:schemeClr w14:val="tx1"/>
            </w14:solidFill>
          </w14:textFill>
        </w:rPr>
        <w:t>深入推进服务型政府建设，打造“一网办、一窗办、一次办、一机办、一码办”的政务服务体系，推动政务服务提质增效，</w:t>
      </w:r>
      <w:r>
        <w:rPr>
          <w:rFonts w:hint="eastAsia" w:ascii="仿宋_GB2312" w:hAnsi="仿宋" w:eastAsia="仿宋_GB2312" w:cs="E-BX"/>
          <w:color w:val="000000" w:themeColor="text1"/>
          <w:kern w:val="0"/>
          <w:sz w:val="32"/>
          <w:szCs w:val="32"/>
          <w:highlight w:val="none"/>
          <w14:textFill>
            <w14:solidFill>
              <w14:schemeClr w14:val="tx1"/>
            </w14:solidFill>
          </w14:textFill>
        </w:rPr>
        <w:t>让企业群众省时、省力、更省心</w:t>
      </w:r>
      <w:r>
        <w:rPr>
          <w:rFonts w:ascii="仿宋_GB2312" w:hAnsi="仿宋" w:eastAsia="仿宋_GB2312" w:cs="E-BX"/>
          <w:color w:val="000000" w:themeColor="text1"/>
          <w:kern w:val="0"/>
          <w:sz w:val="32"/>
          <w:szCs w:val="32"/>
          <w:highlight w:val="none"/>
          <w14:textFill>
            <w14:solidFill>
              <w14:schemeClr w14:val="tx1"/>
            </w14:solidFill>
          </w14:textFill>
        </w:rPr>
        <w:t>。</w:t>
      </w:r>
      <w:r>
        <w:rPr>
          <w:rFonts w:hint="eastAsia" w:ascii="仿宋_GB2312" w:hAnsi="仿宋" w:eastAsia="仿宋_GB2312" w:cs="E-BX"/>
          <w:color w:val="000000" w:themeColor="text1"/>
          <w:kern w:val="0"/>
          <w:sz w:val="32"/>
          <w:szCs w:val="32"/>
          <w:highlight w:val="none"/>
          <w14:textFill>
            <w14:solidFill>
              <w14:schemeClr w14:val="tx1"/>
            </w14:solidFill>
          </w14:textFill>
        </w:rPr>
        <w:t>推动跨部门和层级的信息共享和业务协同，打通政府内部管理和对外服务信息化体系。</w:t>
      </w:r>
    </w:p>
    <w:p>
      <w:pPr>
        <w:pStyle w:val="4"/>
        <w:keepNext w:val="0"/>
        <w:keepLines w:val="0"/>
        <w:spacing w:before="0" w:after="0" w:line="560" w:lineRule="exact"/>
        <w:ind w:left="567"/>
        <w:rPr>
          <w:rFonts w:ascii="仿宋_GB2312" w:hAnsi="楷体" w:eastAsia="仿宋_GB2312"/>
          <w:b w:val="0"/>
          <w:bCs w:val="0"/>
          <w:color w:val="000000" w:themeColor="text1"/>
          <w:highlight w:val="none"/>
          <w14:textFill>
            <w14:solidFill>
              <w14:schemeClr w14:val="tx1"/>
            </w14:solidFill>
          </w14:textFill>
        </w:rPr>
      </w:pPr>
      <w:bookmarkStart w:id="628" w:name="_Toc63303034"/>
      <w:bookmarkStart w:id="629" w:name="_Toc68615387"/>
      <w:bookmarkStart w:id="630" w:name="_Toc64873750"/>
      <w:bookmarkStart w:id="631" w:name="_Toc67470166"/>
      <w:bookmarkStart w:id="632" w:name="_Toc75790540"/>
      <w:bookmarkStart w:id="633" w:name="_Toc72936875"/>
      <w:bookmarkStart w:id="634" w:name="_Toc64866115"/>
      <w:bookmarkStart w:id="635" w:name="_Toc63751444"/>
      <w:bookmarkStart w:id="636" w:name="_Toc64863253"/>
      <w:r>
        <w:rPr>
          <w:rFonts w:ascii="仿宋_GB2312" w:hAnsi="楷体" w:eastAsia="仿宋_GB2312"/>
          <w:color w:val="000000" w:themeColor="text1"/>
          <w:highlight w:val="none"/>
          <w14:textFill>
            <w14:solidFill>
              <w14:schemeClr w14:val="tx1"/>
            </w14:solidFill>
          </w14:textFill>
        </w:rPr>
        <w:t>1</w:t>
      </w:r>
      <w:r>
        <w:rPr>
          <w:rFonts w:hint="eastAsia" w:ascii="仿宋_GB2312" w:hAnsi="楷体" w:eastAsia="仿宋_GB2312"/>
          <w:color w:val="000000" w:themeColor="text1"/>
          <w:highlight w:val="none"/>
          <w14:textFill>
            <w14:solidFill>
              <w14:schemeClr w14:val="tx1"/>
            </w14:solidFill>
          </w14:textFill>
        </w:rPr>
        <w:t>.创响经开区</w:t>
      </w:r>
      <w:r>
        <w:rPr>
          <w:rFonts w:ascii="仿宋_GB2312" w:hAnsi="仿宋" w:eastAsia="仿宋_GB2312" w:cs="E-BX"/>
          <w:color w:val="000000" w:themeColor="text1"/>
          <w:kern w:val="0"/>
          <w:highlight w:val="none"/>
          <w14:textFill>
            <w14:solidFill>
              <w14:schemeClr w14:val="tx1"/>
            </w14:solidFill>
          </w14:textFill>
        </w:rPr>
        <w:t>“</w:t>
      </w:r>
      <w:r>
        <w:rPr>
          <w:rFonts w:hint="eastAsia" w:ascii="仿宋_GB2312" w:hAnsi="仿宋" w:eastAsia="仿宋_GB2312" w:cs="E-BX"/>
          <w:color w:val="000000" w:themeColor="text1"/>
          <w:kern w:val="0"/>
          <w:highlight w:val="none"/>
          <w14:textFill>
            <w14:solidFill>
              <w14:schemeClr w14:val="tx1"/>
            </w14:solidFill>
          </w14:textFill>
        </w:rPr>
        <w:t>乐享政服</w:t>
      </w:r>
      <w:r>
        <w:rPr>
          <w:rFonts w:ascii="仿宋_GB2312" w:hAnsi="仿宋" w:eastAsia="仿宋_GB2312" w:cs="E-BX"/>
          <w:color w:val="000000" w:themeColor="text1"/>
          <w:kern w:val="0"/>
          <w:highlight w:val="none"/>
          <w14:textFill>
            <w14:solidFill>
              <w14:schemeClr w14:val="tx1"/>
            </w14:solidFill>
          </w14:textFill>
        </w:rPr>
        <w:t>”</w:t>
      </w:r>
      <w:bookmarkEnd w:id="628"/>
      <w:r>
        <w:rPr>
          <w:rFonts w:hint="eastAsia" w:ascii="仿宋_GB2312" w:hAnsi="楷体" w:eastAsia="仿宋_GB2312"/>
          <w:color w:val="000000" w:themeColor="text1"/>
          <w:highlight w:val="none"/>
          <w14:textFill>
            <w14:solidFill>
              <w14:schemeClr w14:val="tx1"/>
            </w14:solidFill>
          </w14:textFill>
        </w:rPr>
        <w:t>品牌</w:t>
      </w:r>
      <w:bookmarkEnd w:id="629"/>
      <w:bookmarkEnd w:id="630"/>
      <w:bookmarkEnd w:id="631"/>
      <w:bookmarkEnd w:id="632"/>
      <w:bookmarkEnd w:id="633"/>
      <w:bookmarkEnd w:id="634"/>
      <w:bookmarkEnd w:id="635"/>
      <w:bookmarkEnd w:id="636"/>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color w:val="000000" w:themeColor="text1"/>
          <w:kern w:val="0"/>
          <w:sz w:val="32"/>
          <w:szCs w:val="32"/>
          <w:highlight w:val="none"/>
          <w14:textFill>
            <w14:solidFill>
              <w14:schemeClr w14:val="tx1"/>
            </w14:solidFill>
          </w14:textFill>
        </w:rPr>
        <w:t>聚焦服务便利化，加强改革创新，通过多渠道功能互补，实现多种方式办理，</w:t>
      </w:r>
      <w:r>
        <w:rPr>
          <w:rFonts w:ascii="仿宋_GB2312" w:hAnsi="仿宋" w:eastAsia="仿宋_GB2312" w:cs="E-BX"/>
          <w:color w:val="000000" w:themeColor="text1"/>
          <w:kern w:val="0"/>
          <w:sz w:val="32"/>
          <w:szCs w:val="32"/>
          <w:highlight w:val="none"/>
          <w14:textFill>
            <w14:solidFill>
              <w14:schemeClr w14:val="tx1"/>
            </w14:solidFill>
          </w14:textFill>
        </w:rPr>
        <w:t>提供全覆盖、精准化、个性化、智慧化服务，让政务服务更贴心</w:t>
      </w:r>
      <w:r>
        <w:rPr>
          <w:rFonts w:hint="eastAsia" w:ascii="仿宋_GB2312" w:hAnsi="仿宋" w:eastAsia="仿宋_GB2312" w:cs="E-BX"/>
          <w:color w:val="000000" w:themeColor="text1"/>
          <w:kern w:val="0"/>
          <w:sz w:val="32"/>
          <w:szCs w:val="32"/>
          <w:highlight w:val="none"/>
          <w14:textFill>
            <w14:solidFill>
              <w14:schemeClr w14:val="tx1"/>
            </w14:solidFill>
          </w14:textFill>
        </w:rPr>
        <w:t>、暖心</w:t>
      </w:r>
      <w:r>
        <w:rPr>
          <w:rFonts w:ascii="仿宋_GB2312" w:hAnsi="仿宋" w:eastAsia="仿宋_GB2312" w:cs="E-BX"/>
          <w:color w:val="000000" w:themeColor="text1"/>
          <w:kern w:val="0"/>
          <w:sz w:val="32"/>
          <w:szCs w:val="32"/>
          <w:highlight w:val="none"/>
          <w14:textFill>
            <w14:solidFill>
              <w14:schemeClr w14:val="tx1"/>
            </w14:solidFill>
          </w14:textFill>
        </w:rPr>
        <w:t>，让企业群众办事更省心、舒心</w:t>
      </w:r>
      <w:r>
        <w:rPr>
          <w:rFonts w:hint="eastAsia" w:ascii="仿宋_GB2312" w:hAnsi="仿宋" w:eastAsia="仿宋_GB2312" w:cs="E-BX"/>
          <w:color w:val="000000" w:themeColor="text1"/>
          <w:kern w:val="0"/>
          <w:sz w:val="32"/>
          <w:szCs w:val="32"/>
          <w:highlight w:val="none"/>
          <w14:textFill>
            <w14:solidFill>
              <w14:schemeClr w14:val="tx1"/>
            </w14:solidFill>
          </w14:textFill>
        </w:rPr>
        <w:t>，打造“乐享政服”服务模式。</w:t>
      </w:r>
    </w:p>
    <w:p>
      <w:pPr>
        <w:pStyle w:val="4"/>
        <w:keepNext w:val="0"/>
        <w:keepLines w:val="0"/>
        <w:spacing w:before="0" w:after="0" w:line="560" w:lineRule="exact"/>
        <w:ind w:left="567"/>
        <w:rPr>
          <w:rFonts w:ascii="仿宋_GB2312" w:hAnsi="楷体" w:eastAsia="仿宋_GB2312"/>
          <w:color w:val="000000" w:themeColor="text1"/>
          <w:highlight w:val="none"/>
          <w14:textFill>
            <w14:solidFill>
              <w14:schemeClr w14:val="tx1"/>
            </w14:solidFill>
          </w14:textFill>
        </w:rPr>
      </w:pPr>
      <w:bookmarkStart w:id="637" w:name="_Toc68615388"/>
      <w:bookmarkStart w:id="638" w:name="_Toc63751445"/>
      <w:bookmarkStart w:id="639" w:name="_Toc64863254"/>
      <w:bookmarkStart w:id="640" w:name="_Toc64873751"/>
      <w:bookmarkStart w:id="641" w:name="_Toc75790541"/>
      <w:bookmarkStart w:id="642" w:name="_Toc64866116"/>
      <w:bookmarkStart w:id="643" w:name="_Toc67470167"/>
      <w:bookmarkStart w:id="644" w:name="_Toc63303035"/>
      <w:bookmarkStart w:id="645" w:name="_Toc72936876"/>
      <w:r>
        <w:rPr>
          <w:rFonts w:hint="eastAsia" w:ascii="仿宋_GB2312" w:hAnsi="楷体" w:eastAsia="仿宋_GB2312"/>
          <w:color w:val="000000" w:themeColor="text1"/>
          <w:highlight w:val="none"/>
          <w14:textFill>
            <w14:solidFill>
              <w14:schemeClr w14:val="tx1"/>
            </w14:solidFill>
          </w14:textFill>
        </w:rPr>
        <w:t>（1）拓展服务渠道</w:t>
      </w:r>
      <w:bookmarkEnd w:id="637"/>
      <w:bookmarkEnd w:id="638"/>
      <w:bookmarkEnd w:id="639"/>
      <w:bookmarkEnd w:id="640"/>
      <w:bookmarkEnd w:id="641"/>
      <w:bookmarkEnd w:id="642"/>
      <w:bookmarkEnd w:id="643"/>
      <w:bookmarkEnd w:id="644"/>
      <w:bookmarkEnd w:id="645"/>
    </w:p>
    <w:p>
      <w:pPr>
        <w:autoSpaceDE w:val="0"/>
        <w:autoSpaceDN w:val="0"/>
        <w:adjustRightInd w:val="0"/>
        <w:spacing w:line="560" w:lineRule="exact"/>
        <w:ind w:firstLine="643"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b/>
          <w:bCs/>
          <w:color w:val="000000" w:themeColor="text1"/>
          <w:kern w:val="0"/>
          <w:sz w:val="32"/>
          <w:szCs w:val="32"/>
          <w:highlight w:val="none"/>
          <w14:textFill>
            <w14:solidFill>
              <w14:schemeClr w14:val="tx1"/>
            </w14:solidFill>
          </w14:textFill>
        </w:rPr>
        <w:t>网点服务“就近办”。</w:t>
      </w:r>
      <w:r>
        <w:rPr>
          <w:rFonts w:hint="eastAsia" w:ascii="仿宋_GB2312" w:hAnsi="仿宋" w:eastAsia="仿宋_GB2312" w:cs="E-BX"/>
          <w:color w:val="000000" w:themeColor="text1"/>
          <w:kern w:val="0"/>
          <w:sz w:val="32"/>
          <w:szCs w:val="32"/>
          <w:highlight w:val="none"/>
          <w14:textFill>
            <w14:solidFill>
              <w14:schemeClr w14:val="tx1"/>
            </w14:solidFill>
          </w14:textFill>
        </w:rPr>
        <w:t>区、街道（镇、园区）、社区（村）全面实行“一门一窗”，打造各层级高效无差别的政务服务。构建区、街道（镇、园区）、村（社区）多级服务体系。全区“通办通取”，建设政务服务“一公里服务圈”，逐步建立“1+</w:t>
      </w:r>
      <w:r>
        <w:rPr>
          <w:rFonts w:ascii="仿宋_GB2312" w:hAnsi="仿宋" w:eastAsia="仿宋_GB2312" w:cs="E-BX"/>
          <w:color w:val="000000" w:themeColor="text1"/>
          <w:kern w:val="0"/>
          <w:sz w:val="32"/>
          <w:szCs w:val="32"/>
          <w:highlight w:val="none"/>
          <w14:textFill>
            <w14:solidFill>
              <w14:schemeClr w14:val="tx1"/>
            </w14:solidFill>
          </w14:textFill>
        </w:rPr>
        <w:t>6</w:t>
      </w:r>
      <w:r>
        <w:rPr>
          <w:rFonts w:hint="eastAsia" w:ascii="仿宋_GB2312" w:hAnsi="仿宋" w:eastAsia="仿宋_GB2312" w:cs="E-BX"/>
          <w:color w:val="000000" w:themeColor="text1"/>
          <w:kern w:val="0"/>
          <w:sz w:val="32"/>
          <w:szCs w:val="32"/>
          <w:highlight w:val="none"/>
          <w14:textFill>
            <w14:solidFill>
              <w14:schemeClr w14:val="tx1"/>
            </w14:solidFill>
          </w14:textFill>
        </w:rPr>
        <w:t>+</w:t>
      </w:r>
      <w:r>
        <w:rPr>
          <w:rFonts w:ascii="仿宋_GB2312" w:hAnsi="仿宋" w:eastAsia="仿宋_GB2312" w:cs="E-BX"/>
          <w:color w:val="000000" w:themeColor="text1"/>
          <w:kern w:val="0"/>
          <w:sz w:val="32"/>
          <w:szCs w:val="32"/>
          <w:highlight w:val="none"/>
          <w14:textFill>
            <w14:solidFill>
              <w14:schemeClr w14:val="tx1"/>
            </w14:solidFill>
          </w14:textFill>
        </w:rPr>
        <w:t>N</w:t>
      </w:r>
      <w:r>
        <w:rPr>
          <w:rFonts w:hint="eastAsia" w:ascii="仿宋_GB2312" w:hAnsi="仿宋" w:eastAsia="仿宋_GB2312" w:cs="E-BX"/>
          <w:color w:val="000000" w:themeColor="text1"/>
          <w:kern w:val="0"/>
          <w:sz w:val="32"/>
          <w:szCs w:val="32"/>
          <w:highlight w:val="none"/>
          <w14:textFill>
            <w14:solidFill>
              <w14:schemeClr w14:val="tx1"/>
            </w14:solidFill>
          </w14:textFill>
        </w:rPr>
        <w:t>”政务服务实体大厅网点办理模式。参照银行网点模式，在经开区泰华大厦园中园建设1个区级全新、独立的智慧型政务服务大厅，</w:t>
      </w:r>
      <w:r>
        <w:rPr>
          <w:rFonts w:ascii="仿宋_GB2312" w:hAnsi="仿宋" w:eastAsia="仿宋_GB2312" w:cs="E-BX"/>
          <w:color w:val="000000" w:themeColor="text1"/>
          <w:kern w:val="0"/>
          <w:sz w:val="32"/>
          <w:szCs w:val="32"/>
          <w:highlight w:val="none"/>
          <w14:textFill>
            <w14:solidFill>
              <w14:schemeClr w14:val="tx1"/>
            </w14:solidFill>
          </w14:textFill>
        </w:rPr>
        <w:t>6</w:t>
      </w:r>
      <w:r>
        <w:rPr>
          <w:rFonts w:hint="eastAsia" w:ascii="仿宋_GB2312" w:hAnsi="仿宋" w:eastAsia="仿宋_GB2312" w:cs="E-BX"/>
          <w:color w:val="000000" w:themeColor="text1"/>
          <w:kern w:val="0"/>
          <w:sz w:val="32"/>
          <w:szCs w:val="32"/>
          <w:highlight w:val="none"/>
          <w14:textFill>
            <w14:solidFill>
              <w14:schemeClr w14:val="tx1"/>
            </w14:solidFill>
          </w14:textFill>
        </w:rPr>
        <w:t>个街道（镇）设置区政务服务分厅。在全区的社区工作站和重点园区设立N个代收件业务点，社区工作人员收件后及时移交街道（镇）政务服务分厅办理，逐步实现“就近能办、异地可办、全省通办”。加强信息共享和业务协同，推进区级事项向基层下沉。推出“区级高频事项镇街办”清单和“镇街高频事项就近办”清单，居民高频事项跨地可办、就近能办。</w:t>
      </w:r>
    </w:p>
    <w:p>
      <w:pPr>
        <w:autoSpaceDE w:val="0"/>
        <w:autoSpaceDN w:val="0"/>
        <w:adjustRightInd w:val="0"/>
        <w:spacing w:line="560" w:lineRule="exact"/>
        <w:ind w:firstLine="643"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b/>
          <w:bCs/>
          <w:color w:val="000000" w:themeColor="text1"/>
          <w:kern w:val="0"/>
          <w:sz w:val="32"/>
          <w:szCs w:val="32"/>
          <w:highlight w:val="none"/>
          <w14:textFill>
            <w14:solidFill>
              <w14:schemeClr w14:val="tx1"/>
            </w14:solidFill>
          </w14:textFill>
        </w:rPr>
        <w:t>政务服务“网上</w:t>
      </w:r>
      <w:r>
        <w:rPr>
          <w:rFonts w:ascii="仿宋_GB2312" w:hAnsi="仿宋" w:eastAsia="仿宋_GB2312" w:cs="E-BX"/>
          <w:b/>
          <w:bCs/>
          <w:color w:val="000000" w:themeColor="text1"/>
          <w:kern w:val="0"/>
          <w:sz w:val="32"/>
          <w:szCs w:val="32"/>
          <w:highlight w:val="none"/>
          <w14:textFill>
            <w14:solidFill>
              <w14:schemeClr w14:val="tx1"/>
            </w14:solidFill>
          </w14:textFill>
        </w:rPr>
        <w:t>办</w:t>
      </w:r>
      <w:r>
        <w:rPr>
          <w:rFonts w:hint="eastAsia" w:ascii="仿宋_GB2312" w:hAnsi="仿宋" w:eastAsia="仿宋_GB2312" w:cs="E-BX"/>
          <w:b/>
          <w:bCs/>
          <w:color w:val="000000" w:themeColor="text1"/>
          <w:kern w:val="0"/>
          <w:sz w:val="32"/>
          <w:szCs w:val="32"/>
          <w:highlight w:val="none"/>
          <w14:textFill>
            <w14:solidFill>
              <w14:schemeClr w14:val="tx1"/>
            </w14:solidFill>
          </w14:textFill>
        </w:rPr>
        <w:t>”</w:t>
      </w:r>
      <w:r>
        <w:rPr>
          <w:rFonts w:hint="eastAsia" w:ascii="仿宋_GB2312" w:hAnsi="仿宋" w:eastAsia="仿宋_GB2312" w:cs="E-BX"/>
          <w:color w:val="000000" w:themeColor="text1"/>
          <w:kern w:val="0"/>
          <w:sz w:val="32"/>
          <w:szCs w:val="32"/>
          <w:highlight w:val="none"/>
          <w14:textFill>
            <w14:solidFill>
              <w14:schemeClr w14:val="tx1"/>
            </w14:solidFill>
          </w14:textFill>
        </w:rPr>
        <w:t>。完善政务服务事项清单动态调整机制，推进政务服务清单标准化，全面推行“集中办、无差别办”。提升“全程网办”服务水平，围绕医、学、住、行、生、老、病、养等领域，推动与群众和企业密切相关的政务事项实现网上办理“应上尽上、上必能办”。配合市政务办完善湛江市网上办事大厅湛江经开区分厅，推行网上预审服务模式，依托“信任在前、审核在后”的容缺审批机制，进一步缩短受理审批时限。</w:t>
      </w:r>
    </w:p>
    <w:p>
      <w:pPr>
        <w:autoSpaceDE w:val="0"/>
        <w:autoSpaceDN w:val="0"/>
        <w:adjustRightInd w:val="0"/>
        <w:spacing w:line="560" w:lineRule="exact"/>
        <w:ind w:firstLine="643"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b/>
          <w:bCs/>
          <w:color w:val="000000" w:themeColor="text1"/>
          <w:kern w:val="0"/>
          <w:sz w:val="32"/>
          <w:szCs w:val="32"/>
          <w:highlight w:val="none"/>
          <w14:textFill>
            <w14:solidFill>
              <w14:schemeClr w14:val="tx1"/>
            </w14:solidFill>
          </w14:textFill>
        </w:rPr>
        <w:t>移动服务“</w:t>
      </w:r>
      <w:r>
        <w:rPr>
          <w:rFonts w:ascii="仿宋_GB2312" w:hAnsi="仿宋" w:eastAsia="仿宋_GB2312" w:cs="E-BX"/>
          <w:b/>
          <w:bCs/>
          <w:color w:val="000000" w:themeColor="text1"/>
          <w:kern w:val="0"/>
          <w:sz w:val="32"/>
          <w:szCs w:val="32"/>
          <w:highlight w:val="none"/>
          <w14:textFill>
            <w14:solidFill>
              <w14:schemeClr w14:val="tx1"/>
            </w14:solidFill>
          </w14:textFill>
        </w:rPr>
        <w:t>指尖办</w:t>
      </w:r>
      <w:r>
        <w:rPr>
          <w:rFonts w:hint="eastAsia" w:ascii="仿宋_GB2312" w:hAnsi="仿宋" w:eastAsia="仿宋_GB2312" w:cs="E-BX"/>
          <w:b/>
          <w:bCs/>
          <w:color w:val="000000" w:themeColor="text1"/>
          <w:kern w:val="0"/>
          <w:sz w:val="32"/>
          <w:szCs w:val="32"/>
          <w:highlight w:val="none"/>
          <w14:textFill>
            <w14:solidFill>
              <w14:schemeClr w14:val="tx1"/>
            </w14:solidFill>
          </w14:textFill>
        </w:rPr>
        <w:t>”。</w:t>
      </w:r>
      <w:bookmarkStart w:id="646" w:name="_Toc59121404"/>
      <w:bookmarkStart w:id="647" w:name="_Toc58916898"/>
      <w:bookmarkStart w:id="648" w:name="_Toc58933733"/>
      <w:r>
        <w:rPr>
          <w:rFonts w:hint="eastAsia" w:ascii="仿宋_GB2312" w:hAnsi="仿宋" w:eastAsia="仿宋_GB2312" w:cs="E-BX"/>
          <w:b/>
          <w:bCs/>
          <w:color w:val="000000" w:themeColor="text1"/>
          <w:kern w:val="0"/>
          <w:sz w:val="32"/>
          <w:szCs w:val="32"/>
          <w:highlight w:val="none"/>
          <w14:textFill>
            <w14:solidFill>
              <w14:schemeClr w14:val="tx1"/>
            </w14:solidFill>
          </w14:textFill>
        </w:rPr>
        <w:t>一是拓展“粤省事”移动服务应用</w:t>
      </w:r>
      <w:bookmarkEnd w:id="646"/>
      <w:bookmarkEnd w:id="647"/>
      <w:bookmarkEnd w:id="648"/>
      <w:r>
        <w:rPr>
          <w:rFonts w:hint="eastAsia" w:ascii="仿宋_GB2312" w:hAnsi="仿宋" w:eastAsia="仿宋_GB2312" w:cs="E-BX"/>
          <w:b/>
          <w:bCs/>
          <w:color w:val="000000" w:themeColor="text1"/>
          <w:kern w:val="0"/>
          <w:sz w:val="32"/>
          <w:szCs w:val="32"/>
          <w:highlight w:val="none"/>
          <w14:textFill>
            <w14:solidFill>
              <w14:schemeClr w14:val="tx1"/>
            </w14:solidFill>
          </w14:textFill>
        </w:rPr>
        <w:t>。</w:t>
      </w:r>
      <w:r>
        <w:rPr>
          <w:rFonts w:hint="eastAsia" w:ascii="仿宋_GB2312" w:hAnsi="仿宋" w:eastAsia="仿宋_GB2312" w:cs="E-BX"/>
          <w:color w:val="000000" w:themeColor="text1"/>
          <w:kern w:val="0"/>
          <w:sz w:val="32"/>
          <w:szCs w:val="32"/>
          <w:highlight w:val="none"/>
          <w14:textFill>
            <w14:solidFill>
              <w14:schemeClr w14:val="tx1"/>
            </w14:solidFill>
          </w14:textFill>
        </w:rPr>
        <w:t>梳理经开区高频服务事项和电子证照用证需求，推动民生服务事项入驻和多种电子证照应用服务，按方便手机办理的要求优化业务办理流程，按统一规范接入“粤省事”平台，并确保提供及时、可靠服务。探索在“粤省事﹒湛江”移动服务平台上实现经开区本地化的创新应用。</w:t>
      </w:r>
      <w:r>
        <w:rPr>
          <w:rFonts w:hint="eastAsia" w:ascii="仿宋_GB2312" w:hAnsi="仿宋" w:eastAsia="仿宋_GB2312" w:cs="E-BX"/>
          <w:b/>
          <w:bCs/>
          <w:color w:val="000000" w:themeColor="text1"/>
          <w:kern w:val="0"/>
          <w:sz w:val="32"/>
          <w:szCs w:val="32"/>
          <w:highlight w:val="none"/>
          <w14:textFill>
            <w14:solidFill>
              <w14:schemeClr w14:val="tx1"/>
            </w14:solidFill>
          </w14:textFill>
        </w:rPr>
        <w:t>二是</w:t>
      </w:r>
      <w:bookmarkStart w:id="649" w:name="_Toc59121405"/>
      <w:bookmarkStart w:id="650" w:name="_Toc58933734"/>
      <w:bookmarkStart w:id="651" w:name="_Toc58916899"/>
      <w:r>
        <w:rPr>
          <w:rFonts w:hint="eastAsia" w:ascii="仿宋_GB2312" w:hAnsi="仿宋" w:eastAsia="仿宋_GB2312" w:cs="E-BX"/>
          <w:b/>
          <w:bCs/>
          <w:color w:val="000000" w:themeColor="text1"/>
          <w:kern w:val="0"/>
          <w:sz w:val="32"/>
          <w:szCs w:val="32"/>
          <w:highlight w:val="none"/>
          <w14:textFill>
            <w14:solidFill>
              <w14:schemeClr w14:val="tx1"/>
            </w14:solidFill>
          </w14:textFill>
        </w:rPr>
        <w:t>推进“粤商通”移动服务应用</w:t>
      </w:r>
      <w:bookmarkEnd w:id="649"/>
      <w:bookmarkEnd w:id="650"/>
      <w:bookmarkEnd w:id="651"/>
      <w:r>
        <w:rPr>
          <w:rFonts w:hint="eastAsia" w:ascii="仿宋_GB2312" w:hAnsi="仿宋" w:eastAsia="仿宋_GB2312" w:cs="E-BX"/>
          <w:b/>
          <w:bCs/>
          <w:color w:val="000000" w:themeColor="text1"/>
          <w:kern w:val="0"/>
          <w:sz w:val="32"/>
          <w:szCs w:val="32"/>
          <w:highlight w:val="none"/>
          <w14:textFill>
            <w14:solidFill>
              <w14:schemeClr w14:val="tx1"/>
            </w14:solidFill>
          </w14:textFill>
        </w:rPr>
        <w:t>。</w:t>
      </w:r>
      <w:r>
        <w:rPr>
          <w:rFonts w:hint="eastAsia" w:ascii="仿宋_GB2312" w:hAnsi="仿宋" w:eastAsia="仿宋_GB2312" w:cs="E-BX"/>
          <w:color w:val="000000" w:themeColor="text1"/>
          <w:kern w:val="0"/>
          <w:sz w:val="32"/>
          <w:szCs w:val="32"/>
          <w:highlight w:val="none"/>
          <w14:textFill>
            <w14:solidFill>
              <w14:schemeClr w14:val="tx1"/>
            </w14:solidFill>
          </w14:textFill>
        </w:rPr>
        <w:t>梳理涉企的高频服务事项，将涉及企业的政务服务和信息服务集成到“粤商通”平台，实现涉企政务服务“一站式”、“免证办”、“营商通”。</w:t>
      </w:r>
      <w:r>
        <w:rPr>
          <w:rFonts w:hint="eastAsia" w:ascii="仿宋_GB2312" w:hAnsi="仿宋" w:eastAsia="仿宋_GB2312" w:cs="E-BX"/>
          <w:b/>
          <w:bCs/>
          <w:color w:val="000000" w:themeColor="text1"/>
          <w:kern w:val="0"/>
          <w:sz w:val="32"/>
          <w:szCs w:val="32"/>
          <w:highlight w:val="none"/>
          <w14:textFill>
            <w14:solidFill>
              <w14:schemeClr w14:val="tx1"/>
            </w14:solidFill>
          </w14:textFill>
        </w:rPr>
        <w:t>三是</w:t>
      </w:r>
      <w:bookmarkStart w:id="652" w:name="_Toc59121406"/>
      <w:bookmarkStart w:id="653" w:name="_Toc58916900"/>
      <w:bookmarkStart w:id="654" w:name="_Toc58933735"/>
      <w:r>
        <w:rPr>
          <w:rFonts w:hint="eastAsia" w:ascii="仿宋_GB2312" w:hAnsi="仿宋" w:eastAsia="仿宋_GB2312" w:cs="E-BX"/>
          <w:b/>
          <w:bCs/>
          <w:color w:val="000000" w:themeColor="text1"/>
          <w:kern w:val="0"/>
          <w:sz w:val="32"/>
          <w:szCs w:val="32"/>
          <w:highlight w:val="none"/>
          <w14:textFill>
            <w14:solidFill>
              <w14:schemeClr w14:val="tx1"/>
            </w14:solidFill>
          </w14:textFill>
        </w:rPr>
        <w:t>推进“粤政易”平台应用</w:t>
      </w:r>
      <w:bookmarkEnd w:id="652"/>
      <w:bookmarkEnd w:id="653"/>
      <w:bookmarkEnd w:id="654"/>
      <w:r>
        <w:rPr>
          <w:rFonts w:hint="eastAsia" w:ascii="仿宋_GB2312" w:hAnsi="仿宋" w:eastAsia="仿宋_GB2312" w:cs="E-BX"/>
          <w:b/>
          <w:bCs/>
          <w:color w:val="000000" w:themeColor="text1"/>
          <w:kern w:val="0"/>
          <w:sz w:val="32"/>
          <w:szCs w:val="32"/>
          <w:highlight w:val="none"/>
          <w14:textFill>
            <w14:solidFill>
              <w14:schemeClr w14:val="tx1"/>
            </w14:solidFill>
          </w14:textFill>
        </w:rPr>
        <w:t>。</w:t>
      </w:r>
      <w:r>
        <w:rPr>
          <w:rFonts w:hint="eastAsia" w:ascii="仿宋_GB2312" w:hAnsi="仿宋" w:eastAsia="仿宋_GB2312" w:cs="E-BX"/>
          <w:color w:val="000000" w:themeColor="text1"/>
          <w:kern w:val="0"/>
          <w:sz w:val="32"/>
          <w:szCs w:val="32"/>
          <w:highlight w:val="none"/>
          <w14:textFill>
            <w14:solidFill>
              <w14:schemeClr w14:val="tx1"/>
            </w14:solidFill>
          </w14:textFill>
        </w:rPr>
        <w:t>依托“粤政易协同办公平台”，整合湛江经开区各部门现有的</w:t>
      </w:r>
      <w:r>
        <w:rPr>
          <w:rFonts w:ascii="仿宋_GB2312" w:hAnsi="仿宋" w:eastAsia="仿宋_GB2312" w:cs="E-BX"/>
          <w:color w:val="000000" w:themeColor="text1"/>
          <w:kern w:val="0"/>
          <w:sz w:val="32"/>
          <w:szCs w:val="32"/>
          <w:highlight w:val="none"/>
          <w14:textFill>
            <w14:solidFill>
              <w14:schemeClr w14:val="tx1"/>
            </w14:solidFill>
          </w14:textFill>
        </w:rPr>
        <w:t>OA</w:t>
      </w:r>
      <w:r>
        <w:rPr>
          <w:rFonts w:hint="eastAsia" w:ascii="仿宋_GB2312" w:hAnsi="仿宋" w:eastAsia="仿宋_GB2312" w:cs="E-BX"/>
          <w:color w:val="000000" w:themeColor="text1"/>
          <w:kern w:val="0"/>
          <w:sz w:val="32"/>
          <w:szCs w:val="32"/>
          <w:highlight w:val="none"/>
          <w14:textFill>
            <w14:solidFill>
              <w14:schemeClr w14:val="tx1"/>
            </w14:solidFill>
          </w14:textFill>
        </w:rPr>
        <w:t>系统，与省、市政务服务平台以及各部门自建业务系统全面对接。</w:t>
      </w:r>
    </w:p>
    <w:p>
      <w:pPr>
        <w:autoSpaceDE w:val="0"/>
        <w:autoSpaceDN w:val="0"/>
        <w:adjustRightInd w:val="0"/>
        <w:spacing w:line="560" w:lineRule="exact"/>
        <w:ind w:firstLine="643"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b/>
          <w:bCs/>
          <w:color w:val="000000" w:themeColor="text1"/>
          <w:kern w:val="0"/>
          <w:sz w:val="32"/>
          <w:szCs w:val="32"/>
          <w:highlight w:val="none"/>
          <w14:textFill>
            <w14:solidFill>
              <w14:schemeClr w14:val="tx1"/>
            </w14:solidFill>
          </w14:textFill>
        </w:rPr>
        <w:t>自助</w:t>
      </w:r>
      <w:r>
        <w:rPr>
          <w:rFonts w:ascii="仿宋_GB2312" w:hAnsi="仿宋" w:eastAsia="仿宋_GB2312" w:cs="E-BX"/>
          <w:b/>
          <w:bCs/>
          <w:color w:val="000000" w:themeColor="text1"/>
          <w:kern w:val="0"/>
          <w:sz w:val="32"/>
          <w:szCs w:val="32"/>
          <w:highlight w:val="none"/>
          <w14:textFill>
            <w14:solidFill>
              <w14:schemeClr w14:val="tx1"/>
            </w14:solidFill>
          </w14:textFill>
        </w:rPr>
        <w:t>服务</w:t>
      </w:r>
      <w:r>
        <w:rPr>
          <w:rFonts w:hint="eastAsia" w:ascii="仿宋_GB2312" w:hAnsi="仿宋" w:eastAsia="仿宋_GB2312" w:cs="E-BX"/>
          <w:b/>
          <w:bCs/>
          <w:color w:val="000000" w:themeColor="text1"/>
          <w:kern w:val="0"/>
          <w:sz w:val="32"/>
          <w:szCs w:val="32"/>
          <w:highlight w:val="none"/>
          <w14:textFill>
            <w14:solidFill>
              <w14:schemeClr w14:val="tx1"/>
            </w14:solidFill>
          </w14:textFill>
        </w:rPr>
        <w:t>“全天办”。</w:t>
      </w:r>
      <w:r>
        <w:rPr>
          <w:rFonts w:hint="eastAsia" w:ascii="仿宋_GB2312" w:hAnsi="仿宋" w:eastAsia="仿宋_GB2312" w:cs="E-BX"/>
          <w:color w:val="000000" w:themeColor="text1"/>
          <w:kern w:val="0"/>
          <w:sz w:val="32"/>
          <w:szCs w:val="32"/>
          <w:highlight w:val="none"/>
          <w14:textFill>
            <w14:solidFill>
              <w14:schemeClr w14:val="tx1"/>
            </w14:solidFill>
          </w14:textFill>
        </w:rPr>
        <w:t>建成区政务服务大厅和东海岛园区党群服务中心通过引入人工智能机器人、自助查询机等方式，打造全区覆盖事项多、服务功能全、窗口完整闭环的政务服务自助专区，实现群众办事24小时自助查询、智能咨询、自助业务申办、自助取件的全链条一体化自助模式。在各街道（镇）、社区、银行网点、大型住宅区、园区等人流密集的场所安装自助服务终端，实现全区政务服务全天候运作模式。整合优化终端一体机，推动相关部门充分利用好现有设备，实现功能再升级、重复再利用，分步骤、分阶段推进自助服务终端整合。</w:t>
      </w:r>
    </w:p>
    <w:p>
      <w:pPr>
        <w:pStyle w:val="4"/>
        <w:keepNext w:val="0"/>
        <w:keepLines w:val="0"/>
        <w:spacing w:before="0" w:after="0" w:line="560" w:lineRule="exact"/>
        <w:ind w:left="567"/>
        <w:rPr>
          <w:rFonts w:ascii="仿宋_GB2312" w:hAnsi="楷体" w:eastAsia="仿宋_GB2312"/>
          <w:color w:val="000000" w:themeColor="text1"/>
          <w:highlight w:val="none"/>
          <w14:textFill>
            <w14:solidFill>
              <w14:schemeClr w14:val="tx1"/>
            </w14:solidFill>
          </w14:textFill>
        </w:rPr>
      </w:pPr>
      <w:bookmarkStart w:id="655" w:name="_Toc72936877"/>
      <w:bookmarkStart w:id="656" w:name="_Toc67470168"/>
      <w:bookmarkStart w:id="657" w:name="_Toc75790542"/>
      <w:bookmarkStart w:id="658" w:name="_Toc64873752"/>
      <w:bookmarkStart w:id="659" w:name="_Toc63751446"/>
      <w:bookmarkStart w:id="660" w:name="_Toc64863255"/>
      <w:bookmarkStart w:id="661" w:name="_Toc64866117"/>
      <w:bookmarkStart w:id="662" w:name="_Toc63303036"/>
      <w:bookmarkStart w:id="663" w:name="_Toc68615389"/>
      <w:r>
        <w:rPr>
          <w:rFonts w:hint="eastAsia" w:ascii="仿宋_GB2312" w:hAnsi="楷体" w:eastAsia="仿宋_GB2312"/>
          <w:color w:val="000000" w:themeColor="text1"/>
          <w:highlight w:val="none"/>
          <w14:textFill>
            <w14:solidFill>
              <w14:schemeClr w14:val="tx1"/>
            </w14:solidFill>
          </w14:textFill>
        </w:rPr>
        <w:t>（2）优化服务流程</w:t>
      </w:r>
      <w:bookmarkEnd w:id="655"/>
      <w:bookmarkEnd w:id="656"/>
      <w:bookmarkEnd w:id="657"/>
      <w:bookmarkEnd w:id="658"/>
      <w:bookmarkEnd w:id="659"/>
      <w:bookmarkEnd w:id="660"/>
      <w:bookmarkEnd w:id="661"/>
      <w:bookmarkEnd w:id="662"/>
      <w:bookmarkEnd w:id="663"/>
    </w:p>
    <w:p>
      <w:pPr>
        <w:autoSpaceDE w:val="0"/>
        <w:autoSpaceDN w:val="0"/>
        <w:adjustRightInd w:val="0"/>
        <w:spacing w:line="560" w:lineRule="exact"/>
        <w:ind w:firstLine="643"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b/>
          <w:bCs/>
          <w:color w:val="000000" w:themeColor="text1"/>
          <w:kern w:val="0"/>
          <w:sz w:val="32"/>
          <w:szCs w:val="32"/>
          <w:highlight w:val="none"/>
          <w14:textFill>
            <w14:solidFill>
              <w14:schemeClr w14:val="tx1"/>
            </w14:solidFill>
          </w14:textFill>
        </w:rPr>
        <w:t>窗口改革“综合办”“上门办”。</w:t>
      </w:r>
      <w:r>
        <w:rPr>
          <w:rFonts w:hint="eastAsia" w:ascii="仿宋_GB2312" w:hAnsi="仿宋" w:eastAsia="仿宋_GB2312" w:cs="E-BX"/>
          <w:color w:val="000000" w:themeColor="text1"/>
          <w:kern w:val="0"/>
          <w:sz w:val="32"/>
          <w:szCs w:val="32"/>
          <w:highlight w:val="none"/>
          <w14:textFill>
            <w14:solidFill>
              <w14:schemeClr w14:val="tx1"/>
            </w14:solidFill>
          </w14:textFill>
        </w:rPr>
        <w:t>深入推进综合窗口改革，在政务服务大厅全面推行“前台综合受理、后台分类审批、综合窗口出件”服务模式，变企业群众办事“一事跑多窗”为“一窗办多事”，有效解决窗口忙闲不均、群众排长队、办事来回跑等问题。推出政务流动窗口“上门办”。为老年人、残障人士等特殊群体办理劳动就业、社会保险、社会救助等政务服务事项，提供“上门办”服务。</w:t>
      </w:r>
    </w:p>
    <w:p>
      <w:pPr>
        <w:autoSpaceDE w:val="0"/>
        <w:autoSpaceDN w:val="0"/>
        <w:adjustRightInd w:val="0"/>
        <w:spacing w:line="560" w:lineRule="exact"/>
        <w:ind w:firstLine="643"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b/>
          <w:bCs/>
          <w:color w:val="000000" w:themeColor="text1"/>
          <w:kern w:val="0"/>
          <w:sz w:val="32"/>
          <w:szCs w:val="32"/>
          <w:highlight w:val="none"/>
          <w14:textFill>
            <w14:solidFill>
              <w14:schemeClr w14:val="tx1"/>
            </w14:solidFill>
          </w14:textFill>
        </w:rPr>
        <w:t>一件事“集成办”。</w:t>
      </w:r>
      <w:r>
        <w:rPr>
          <w:rFonts w:hint="eastAsia" w:ascii="仿宋_GB2312" w:hAnsi="仿宋" w:eastAsia="仿宋_GB2312" w:cs="E-BX"/>
          <w:color w:val="000000" w:themeColor="text1"/>
          <w:kern w:val="0"/>
          <w:sz w:val="32"/>
          <w:szCs w:val="32"/>
          <w:highlight w:val="none"/>
          <w14:textFill>
            <w14:solidFill>
              <w14:schemeClr w14:val="tx1"/>
            </w14:solidFill>
          </w14:textFill>
        </w:rPr>
        <w:t>以高频民生事项和涉企事项为重点，推行“一件事”主题集成服务，对涉及两个以上部门办理的事项大力推行“一件事”主题联办服务模式，申请人按“一件事”的办理要求提出一次申请，登记一份申请表，提交一套材料，可一次性获取办理结果，部门协同联办，牵头主责部门统一提供咨询、辅导、受理等服务。</w:t>
      </w:r>
    </w:p>
    <w:p>
      <w:pPr>
        <w:autoSpaceDE w:val="0"/>
        <w:autoSpaceDN w:val="0"/>
        <w:adjustRightInd w:val="0"/>
        <w:spacing w:line="560" w:lineRule="exact"/>
        <w:ind w:firstLine="643"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b/>
          <w:bCs/>
          <w:color w:val="000000" w:themeColor="text1"/>
          <w:kern w:val="0"/>
          <w:sz w:val="32"/>
          <w:szCs w:val="32"/>
          <w:highlight w:val="none"/>
          <w14:textFill>
            <w14:solidFill>
              <w14:schemeClr w14:val="tx1"/>
            </w14:solidFill>
          </w14:textFill>
        </w:rPr>
        <w:t>推广“智慧办”。</w:t>
      </w:r>
      <w:r>
        <w:rPr>
          <w:rFonts w:hint="eastAsia" w:ascii="仿宋_GB2312" w:hAnsi="仿宋" w:eastAsia="仿宋_GB2312" w:cs="E-BX"/>
          <w:color w:val="000000" w:themeColor="text1"/>
          <w:kern w:val="0"/>
          <w:sz w:val="32"/>
          <w:szCs w:val="32"/>
          <w:highlight w:val="none"/>
          <w14:textFill>
            <w14:solidFill>
              <w14:schemeClr w14:val="tx1"/>
            </w14:solidFill>
          </w14:textFill>
        </w:rPr>
        <w:t>试点推出“智能受理、智能审批”服务。利用“大数据+AI”、区块链等科技手段，充分利用数据共享平台和部门协同作用，配合市建设智能审批平台，对审查标准可量化、数据可获取的服务事项，推行自动预判申报资格，自动调取表单信息，自动带出电子材料，做到智能收件、智能审批，实现“零填报、秒申办”“自动审、秒办理”。梳理一批经开区“智能秒批”事项清单，遍布全区各街道（镇）、社区、银行网点、大型住宅区、园区等场所的政务智能一体机同步上线。</w:t>
      </w:r>
    </w:p>
    <w:p>
      <w:pPr>
        <w:autoSpaceDE w:val="0"/>
        <w:autoSpaceDN w:val="0"/>
        <w:adjustRightInd w:val="0"/>
        <w:spacing w:line="560" w:lineRule="exact"/>
        <w:ind w:firstLine="643"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b/>
          <w:bCs/>
          <w:color w:val="000000" w:themeColor="text1"/>
          <w:kern w:val="0"/>
          <w:sz w:val="32"/>
          <w:szCs w:val="32"/>
          <w:highlight w:val="none"/>
          <w14:textFill>
            <w14:solidFill>
              <w14:schemeClr w14:val="tx1"/>
            </w14:solidFill>
          </w14:textFill>
        </w:rPr>
        <w:t>落实服务“跨域办”。</w:t>
      </w:r>
      <w:r>
        <w:rPr>
          <w:rFonts w:hint="eastAsia" w:ascii="仿宋_GB2312" w:hAnsi="仿宋" w:eastAsia="仿宋_GB2312" w:cs="E-BX"/>
          <w:color w:val="000000" w:themeColor="text1"/>
          <w:kern w:val="0"/>
          <w:sz w:val="32"/>
          <w:szCs w:val="32"/>
          <w:highlight w:val="none"/>
          <w14:textFill>
            <w14:solidFill>
              <w14:schemeClr w14:val="tx1"/>
            </w14:solidFill>
          </w14:textFill>
        </w:rPr>
        <w:t>为实现“全市通办”、“全省通办”、“跨省通办”的目标。推进全区范围无差别受理、同标准办理，打破属地化管理模式，配合市级深化“全市通办";进一步拓展跨城通办的广度和深度，配合市级推进与省内其他兄弟地市开展跨城通办服务，实现“全省通办”;进一步深化与</w:t>
      </w:r>
      <w:r>
        <w:rPr>
          <w:rFonts w:ascii="仿宋_GB2312" w:hAnsi="仿宋" w:eastAsia="仿宋_GB2312" w:cs="E-BX"/>
          <w:color w:val="000000" w:themeColor="text1"/>
          <w:kern w:val="0"/>
          <w:sz w:val="32"/>
          <w:szCs w:val="32"/>
          <w:highlight w:val="none"/>
          <w14:textFill>
            <w14:solidFill>
              <w14:schemeClr w14:val="tx1"/>
            </w14:solidFill>
          </w14:textFill>
        </w:rPr>
        <w:t>福建、江西、湖北、湖南、广西、海南等省（区）相关地市</w:t>
      </w:r>
      <w:r>
        <w:rPr>
          <w:rFonts w:hint="eastAsia" w:ascii="仿宋_GB2312" w:hAnsi="仿宋" w:eastAsia="仿宋_GB2312" w:cs="E-BX"/>
          <w:color w:val="000000" w:themeColor="text1"/>
          <w:kern w:val="0"/>
          <w:sz w:val="32"/>
          <w:szCs w:val="32"/>
          <w:highlight w:val="none"/>
          <w14:textFill>
            <w14:solidFill>
              <w14:schemeClr w14:val="tx1"/>
            </w14:solidFill>
          </w14:textFill>
        </w:rPr>
        <w:t>的“跨省通办”服务，探索</w:t>
      </w:r>
      <w:r>
        <w:rPr>
          <w:rFonts w:ascii="仿宋_GB2312" w:hAnsi="仿宋" w:eastAsia="仿宋_GB2312" w:cs="E-BX"/>
          <w:color w:val="000000" w:themeColor="text1"/>
          <w:kern w:val="0"/>
          <w:sz w:val="32"/>
          <w:szCs w:val="32"/>
          <w:highlight w:val="none"/>
          <w14:textFill>
            <w14:solidFill>
              <w14:schemeClr w14:val="tx1"/>
            </w14:solidFill>
          </w14:textFill>
        </w:rPr>
        <w:t>地市间</w:t>
      </w:r>
      <w:r>
        <w:rPr>
          <w:rFonts w:hint="eastAsia" w:ascii="仿宋_GB2312" w:hAnsi="仿宋" w:eastAsia="仿宋_GB2312" w:cs="E-BX"/>
          <w:color w:val="000000" w:themeColor="text1"/>
          <w:kern w:val="0"/>
          <w:sz w:val="32"/>
          <w:szCs w:val="32"/>
          <w:highlight w:val="none"/>
          <w14:textFill>
            <w14:solidFill>
              <w14:schemeClr w14:val="tx1"/>
            </w14:solidFill>
          </w14:textFill>
        </w:rPr>
        <w:t>合作开展跨城通办服务，打造“跨省通办”品牌。</w:t>
      </w:r>
    </w:p>
    <w:p>
      <w:pPr>
        <w:autoSpaceDE w:val="0"/>
        <w:autoSpaceDN w:val="0"/>
        <w:adjustRightInd w:val="0"/>
        <w:spacing w:line="560" w:lineRule="exact"/>
        <w:ind w:firstLine="643"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b/>
          <w:bCs/>
          <w:color w:val="000000" w:themeColor="text1"/>
          <w:kern w:val="0"/>
          <w:sz w:val="32"/>
          <w:szCs w:val="32"/>
          <w:highlight w:val="none"/>
          <w14:textFill>
            <w14:solidFill>
              <w14:schemeClr w14:val="tx1"/>
            </w14:solidFill>
          </w14:textFill>
        </w:rPr>
        <w:t>容缺服务“马上办”。</w:t>
      </w:r>
      <w:r>
        <w:rPr>
          <w:rFonts w:hint="eastAsia" w:ascii="仿宋_GB2312" w:hAnsi="仿宋" w:eastAsia="仿宋_GB2312" w:cs="E-BX"/>
          <w:color w:val="000000" w:themeColor="text1"/>
          <w:kern w:val="0"/>
          <w:sz w:val="32"/>
          <w:szCs w:val="32"/>
          <w:highlight w:val="none"/>
          <w14:textFill>
            <w14:solidFill>
              <w14:schemeClr w14:val="tx1"/>
            </w14:solidFill>
          </w14:textFill>
        </w:rPr>
        <w:t>即按“细化裁量标准，量化审批权限”的工作原则，形成全区统一的政务服务事项目录标准、要件标准、流程标准、服务标准和制度规范，明确可容缺的材料及机制优化程序，窗口人员按照清单进行标准化收件。群众在办理业务时，可对容缺材料申请暂不提交，待取证时再递交材料原件，解决群众因申请材料不全来回跑问题。</w:t>
      </w:r>
    </w:p>
    <w:p>
      <w:pPr>
        <w:pStyle w:val="4"/>
        <w:keepNext w:val="0"/>
        <w:keepLines w:val="0"/>
        <w:spacing w:before="0" w:after="0" w:line="560" w:lineRule="exact"/>
        <w:ind w:left="567"/>
        <w:rPr>
          <w:rFonts w:ascii="仿宋_GB2312" w:hAnsi="楷体" w:eastAsia="仿宋_GB2312"/>
          <w:color w:val="000000" w:themeColor="text1"/>
          <w:highlight w:val="none"/>
          <w14:textFill>
            <w14:solidFill>
              <w14:schemeClr w14:val="tx1"/>
            </w14:solidFill>
          </w14:textFill>
        </w:rPr>
      </w:pPr>
      <w:bookmarkStart w:id="664" w:name="_Toc75790543"/>
      <w:bookmarkStart w:id="665" w:name="_Toc63303037"/>
      <w:bookmarkStart w:id="666" w:name="_Toc64863256"/>
      <w:bookmarkStart w:id="667" w:name="_Toc64873753"/>
      <w:bookmarkStart w:id="668" w:name="_Toc72936878"/>
      <w:bookmarkStart w:id="669" w:name="_Toc67470169"/>
      <w:bookmarkStart w:id="670" w:name="_Toc68615390"/>
      <w:bookmarkStart w:id="671" w:name="_Toc64866118"/>
      <w:bookmarkStart w:id="672" w:name="_Toc63751447"/>
      <w:r>
        <w:rPr>
          <w:rFonts w:hint="eastAsia" w:ascii="仿宋_GB2312" w:hAnsi="楷体" w:eastAsia="仿宋_GB2312"/>
          <w:color w:val="000000" w:themeColor="text1"/>
          <w:highlight w:val="none"/>
          <w14:textFill>
            <w14:solidFill>
              <w14:schemeClr w14:val="tx1"/>
            </w14:solidFill>
          </w14:textFill>
        </w:rPr>
        <w:t>（3）创新服务举措</w:t>
      </w:r>
      <w:bookmarkEnd w:id="664"/>
      <w:bookmarkEnd w:id="665"/>
      <w:bookmarkEnd w:id="666"/>
      <w:bookmarkEnd w:id="667"/>
      <w:bookmarkEnd w:id="668"/>
      <w:bookmarkEnd w:id="669"/>
      <w:bookmarkEnd w:id="670"/>
      <w:bookmarkEnd w:id="671"/>
      <w:bookmarkEnd w:id="672"/>
    </w:p>
    <w:p>
      <w:pPr>
        <w:autoSpaceDE w:val="0"/>
        <w:autoSpaceDN w:val="0"/>
        <w:adjustRightInd w:val="0"/>
        <w:spacing w:line="560" w:lineRule="exact"/>
        <w:ind w:firstLine="643"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b/>
          <w:bCs/>
          <w:color w:val="000000" w:themeColor="text1"/>
          <w:kern w:val="0"/>
          <w:sz w:val="32"/>
          <w:szCs w:val="32"/>
          <w:highlight w:val="none"/>
          <w14:textFill>
            <w14:solidFill>
              <w14:schemeClr w14:val="tx1"/>
            </w14:solidFill>
          </w14:textFill>
        </w:rPr>
        <w:t>重点项目“全帮办”。</w:t>
      </w:r>
      <w:r>
        <w:rPr>
          <w:rFonts w:hint="eastAsia" w:ascii="仿宋_GB2312" w:hAnsi="仿宋" w:eastAsia="仿宋_GB2312" w:cs="E-BX"/>
          <w:color w:val="000000" w:themeColor="text1"/>
          <w:kern w:val="0"/>
          <w:sz w:val="32"/>
          <w:szCs w:val="32"/>
          <w:highlight w:val="none"/>
          <w14:textFill>
            <w14:solidFill>
              <w14:schemeClr w14:val="tx1"/>
            </w14:solidFill>
          </w14:textFill>
        </w:rPr>
        <w:t>精准对接项目需求，针对重点建设项目设定项目管家，围绕开办（注销）企业、办理建筑许可、公共服务设施接入、不动产登记、招标投标等领域，提供全流程管家式服务，为重点项目办理审批手续开辟绿色通道、审批直通车，切实帮助推进项目建设进度并跟进企业后续发展。</w:t>
      </w:r>
    </w:p>
    <w:p>
      <w:pPr>
        <w:autoSpaceDE w:val="0"/>
        <w:autoSpaceDN w:val="0"/>
        <w:adjustRightInd w:val="0"/>
        <w:spacing w:line="560" w:lineRule="exact"/>
        <w:ind w:firstLine="643"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b/>
          <w:bCs/>
          <w:color w:val="000000" w:themeColor="text1"/>
          <w:kern w:val="0"/>
          <w:sz w:val="32"/>
          <w:szCs w:val="32"/>
          <w:highlight w:val="none"/>
          <w14:textFill>
            <w14:solidFill>
              <w14:schemeClr w14:val="tx1"/>
            </w14:solidFill>
          </w14:textFill>
        </w:rPr>
        <w:t>政策兑现“延伸办”。</w:t>
      </w:r>
      <w:r>
        <w:rPr>
          <w:rFonts w:hint="eastAsia" w:ascii="仿宋_GB2312" w:hAnsi="仿宋" w:eastAsia="仿宋_GB2312" w:cs="E-BX"/>
          <w:color w:val="000000" w:themeColor="text1"/>
          <w:kern w:val="0"/>
          <w:sz w:val="32"/>
          <w:szCs w:val="32"/>
          <w:highlight w:val="none"/>
          <w14:textFill>
            <w14:solidFill>
              <w14:schemeClr w14:val="tx1"/>
            </w14:solidFill>
          </w14:textFill>
        </w:rPr>
        <w:t>基于惠企服务平台，整合相关职能部门的内部资源，实现政策兑现的申报、审核、批复等各个环节全部线上完成。线下开设政策兑现窗口，集中全区各级各部门政策兑现事项的咨询和受理工作，为湛江经开区企业提供“线上一网式，线下一窗式，线上线下一体化”的政策兑现服务的基础上，拓展延伸高端人才配套服务，为高端人才延伸办理工作居住证、落户、随迁子女入学等业务。</w:t>
      </w:r>
    </w:p>
    <w:p>
      <w:pPr>
        <w:pStyle w:val="4"/>
        <w:keepNext w:val="0"/>
        <w:keepLines w:val="0"/>
        <w:spacing w:before="0" w:after="0" w:line="560" w:lineRule="exact"/>
        <w:ind w:left="567"/>
        <w:rPr>
          <w:rFonts w:ascii="仿宋_GB2312" w:hAnsi="楷体" w:eastAsia="仿宋_GB2312"/>
          <w:color w:val="000000" w:themeColor="text1"/>
          <w:highlight w:val="none"/>
          <w14:textFill>
            <w14:solidFill>
              <w14:schemeClr w14:val="tx1"/>
            </w14:solidFill>
          </w14:textFill>
        </w:rPr>
      </w:pPr>
      <w:bookmarkStart w:id="673" w:name="_Toc59121400"/>
      <w:bookmarkStart w:id="674" w:name="_Toc75790544"/>
      <w:bookmarkStart w:id="675" w:name="_Toc64873754"/>
      <w:bookmarkStart w:id="676" w:name="_Toc64863257"/>
      <w:bookmarkStart w:id="677" w:name="_Toc58933729"/>
      <w:bookmarkStart w:id="678" w:name="_Toc68615391"/>
      <w:bookmarkStart w:id="679" w:name="_Toc67470170"/>
      <w:bookmarkStart w:id="680" w:name="_Toc63751448"/>
      <w:bookmarkStart w:id="681" w:name="_Toc58916894"/>
      <w:bookmarkStart w:id="682" w:name="_Toc64866119"/>
      <w:bookmarkStart w:id="683" w:name="_Toc63303038"/>
      <w:bookmarkStart w:id="684" w:name="_Toc72936879"/>
      <w:bookmarkStart w:id="685" w:name="_Toc59121401"/>
      <w:bookmarkStart w:id="686" w:name="_Toc58933730"/>
      <w:bookmarkStart w:id="687" w:name="_Toc58916895"/>
      <w:bookmarkStart w:id="688" w:name="_Toc58933728"/>
      <w:bookmarkStart w:id="689" w:name="_Toc57929368"/>
      <w:bookmarkStart w:id="690" w:name="_Toc58916893"/>
      <w:bookmarkStart w:id="691" w:name="_Toc57598741"/>
      <w:bookmarkStart w:id="692" w:name="_Toc58569997"/>
      <w:bookmarkStart w:id="693" w:name="_Toc59121399"/>
      <w:r>
        <w:rPr>
          <w:rFonts w:ascii="仿宋_GB2312" w:hAnsi="楷体" w:eastAsia="仿宋_GB2312"/>
          <w:color w:val="000000" w:themeColor="text1"/>
          <w:highlight w:val="none"/>
          <w14:textFill>
            <w14:solidFill>
              <w14:schemeClr w14:val="tx1"/>
            </w14:solidFill>
          </w14:textFill>
        </w:rPr>
        <w:t>2</w:t>
      </w:r>
      <w:r>
        <w:rPr>
          <w:rFonts w:hint="eastAsia" w:ascii="仿宋_GB2312" w:hAnsi="楷体" w:eastAsia="仿宋_GB2312"/>
          <w:color w:val="000000" w:themeColor="text1"/>
          <w:highlight w:val="none"/>
          <w14:textFill>
            <w14:solidFill>
              <w14:schemeClr w14:val="tx1"/>
            </w14:solidFill>
          </w14:textFill>
        </w:rPr>
        <w:t>.推进政务服务统一申办受理</w:t>
      </w:r>
      <w:bookmarkEnd w:id="673"/>
      <w:bookmarkEnd w:id="674"/>
      <w:bookmarkEnd w:id="675"/>
      <w:bookmarkEnd w:id="676"/>
      <w:bookmarkEnd w:id="677"/>
      <w:bookmarkEnd w:id="678"/>
      <w:bookmarkEnd w:id="679"/>
      <w:bookmarkEnd w:id="680"/>
      <w:bookmarkEnd w:id="681"/>
      <w:bookmarkEnd w:id="682"/>
      <w:bookmarkEnd w:id="683"/>
      <w:bookmarkEnd w:id="684"/>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color w:val="000000" w:themeColor="text1"/>
          <w:kern w:val="0"/>
          <w:sz w:val="32"/>
          <w:szCs w:val="32"/>
          <w:highlight w:val="none"/>
          <w14:textFill>
            <w14:solidFill>
              <w14:schemeClr w14:val="tx1"/>
            </w14:solidFill>
          </w14:textFill>
        </w:rPr>
        <w:t>逐步实现区级申办受理统一入口，政务服务事项统一预约、受理、赋码、办理。到2</w:t>
      </w:r>
      <w:r>
        <w:rPr>
          <w:rFonts w:ascii="仿宋_GB2312" w:hAnsi="仿宋" w:eastAsia="仿宋_GB2312" w:cs="E-BX"/>
          <w:color w:val="000000" w:themeColor="text1"/>
          <w:kern w:val="0"/>
          <w:sz w:val="32"/>
          <w:szCs w:val="32"/>
          <w:highlight w:val="none"/>
          <w14:textFill>
            <w14:solidFill>
              <w14:schemeClr w14:val="tx1"/>
            </w14:solidFill>
          </w14:textFill>
        </w:rPr>
        <w:t>025</w:t>
      </w:r>
      <w:r>
        <w:rPr>
          <w:rFonts w:hint="eastAsia" w:ascii="仿宋_GB2312" w:hAnsi="仿宋" w:eastAsia="仿宋_GB2312" w:cs="E-BX"/>
          <w:color w:val="000000" w:themeColor="text1"/>
          <w:kern w:val="0"/>
          <w:sz w:val="32"/>
          <w:szCs w:val="32"/>
          <w:highlight w:val="none"/>
          <w14:textFill>
            <w14:solidFill>
              <w14:schemeClr w14:val="tx1"/>
            </w14:solidFill>
          </w14:textFill>
        </w:rPr>
        <w:t>年，区级</w:t>
      </w:r>
      <w:r>
        <w:rPr>
          <w:rFonts w:ascii="仿宋_GB2312" w:hAnsi="仿宋" w:eastAsia="仿宋_GB2312" w:cs="E-BX"/>
          <w:color w:val="000000" w:themeColor="text1"/>
          <w:kern w:val="0"/>
          <w:sz w:val="32"/>
          <w:szCs w:val="32"/>
          <w:highlight w:val="none"/>
          <w14:textFill>
            <w14:solidFill>
              <w14:schemeClr w14:val="tx1"/>
            </w14:solidFill>
          </w14:textFill>
        </w:rPr>
        <w:t>95</w:t>
      </w:r>
      <w:r>
        <w:rPr>
          <w:rFonts w:hint="eastAsia" w:ascii="仿宋_GB2312" w:hAnsi="仿宋" w:eastAsia="仿宋_GB2312" w:cs="E-BX"/>
          <w:color w:val="000000" w:themeColor="text1"/>
          <w:kern w:val="0"/>
          <w:sz w:val="32"/>
          <w:szCs w:val="32"/>
          <w:highlight w:val="none"/>
          <w14:textFill>
            <w14:solidFill>
              <w14:schemeClr w14:val="tx1"/>
            </w14:solidFill>
          </w14:textFill>
        </w:rPr>
        <w:t>%、街道（镇、园区）</w:t>
      </w:r>
      <w:r>
        <w:rPr>
          <w:rFonts w:ascii="仿宋_GB2312" w:hAnsi="仿宋" w:eastAsia="仿宋_GB2312" w:cs="E-BX"/>
          <w:color w:val="000000" w:themeColor="text1"/>
          <w:kern w:val="0"/>
          <w:sz w:val="32"/>
          <w:szCs w:val="32"/>
          <w:highlight w:val="none"/>
          <w14:textFill>
            <w14:solidFill>
              <w14:schemeClr w14:val="tx1"/>
            </w14:solidFill>
          </w14:textFill>
        </w:rPr>
        <w:t>8</w:t>
      </w:r>
      <w:r>
        <w:rPr>
          <w:rFonts w:hint="eastAsia" w:ascii="仿宋_GB2312" w:hAnsi="仿宋" w:eastAsia="仿宋_GB2312" w:cs="E-BX"/>
          <w:color w:val="000000" w:themeColor="text1"/>
          <w:kern w:val="0"/>
          <w:sz w:val="32"/>
          <w:szCs w:val="32"/>
          <w:highlight w:val="none"/>
          <w14:textFill>
            <w14:solidFill>
              <w14:schemeClr w14:val="tx1"/>
            </w14:solidFill>
          </w14:textFill>
        </w:rPr>
        <w:t>0%申请政务服务事项全程网上办结。与省、市申办受理平台和业务审批系统进行衔接，支持部门高效开展业务审批。</w:t>
      </w:r>
    </w:p>
    <w:p>
      <w:pPr>
        <w:pStyle w:val="4"/>
        <w:keepNext w:val="0"/>
        <w:keepLines w:val="0"/>
        <w:spacing w:before="0" w:after="0" w:line="560" w:lineRule="exact"/>
        <w:ind w:left="567"/>
        <w:rPr>
          <w:rFonts w:ascii="仿宋_GB2312" w:hAnsi="楷体" w:eastAsia="仿宋_GB2312"/>
          <w:color w:val="000000" w:themeColor="text1"/>
          <w:highlight w:val="none"/>
          <w14:textFill>
            <w14:solidFill>
              <w14:schemeClr w14:val="tx1"/>
            </w14:solidFill>
          </w14:textFill>
        </w:rPr>
      </w:pPr>
      <w:bookmarkStart w:id="694" w:name="_Toc64863258"/>
      <w:bookmarkStart w:id="695" w:name="_Toc63303039"/>
      <w:bookmarkStart w:id="696" w:name="_Toc64873755"/>
      <w:bookmarkStart w:id="697" w:name="_Toc75790545"/>
      <w:bookmarkStart w:id="698" w:name="_Toc68615392"/>
      <w:bookmarkStart w:id="699" w:name="_Toc72936880"/>
      <w:bookmarkStart w:id="700" w:name="_Toc64866120"/>
      <w:bookmarkStart w:id="701" w:name="_Toc63751449"/>
      <w:bookmarkStart w:id="702" w:name="_Toc67470171"/>
      <w:r>
        <w:rPr>
          <w:rFonts w:ascii="仿宋_GB2312" w:hAnsi="楷体" w:eastAsia="仿宋_GB2312"/>
          <w:color w:val="000000" w:themeColor="text1"/>
          <w:highlight w:val="none"/>
          <w14:textFill>
            <w14:solidFill>
              <w14:schemeClr w14:val="tx1"/>
            </w14:solidFill>
          </w14:textFill>
        </w:rPr>
        <w:t>3</w:t>
      </w:r>
      <w:r>
        <w:rPr>
          <w:rFonts w:hint="eastAsia" w:ascii="仿宋_GB2312" w:hAnsi="楷体" w:eastAsia="仿宋_GB2312"/>
          <w:color w:val="000000" w:themeColor="text1"/>
          <w:highlight w:val="none"/>
          <w14:textFill>
            <w14:solidFill>
              <w14:schemeClr w14:val="tx1"/>
            </w14:solidFill>
          </w14:textFill>
        </w:rPr>
        <w:t>.推进</w:t>
      </w:r>
      <w:r>
        <w:rPr>
          <w:rFonts w:ascii="仿宋_GB2312" w:hAnsi="楷体" w:eastAsia="仿宋_GB2312"/>
          <w:color w:val="000000" w:themeColor="text1"/>
          <w:highlight w:val="none"/>
          <w14:textFill>
            <w14:solidFill>
              <w14:schemeClr w14:val="tx1"/>
            </w14:solidFill>
          </w14:textFill>
        </w:rPr>
        <w:t>政务服务“四免”</w:t>
      </w:r>
      <w:r>
        <w:rPr>
          <w:rFonts w:hint="eastAsia" w:ascii="仿宋_GB2312" w:hAnsi="楷体" w:eastAsia="仿宋_GB2312"/>
          <w:color w:val="000000" w:themeColor="text1"/>
          <w:highlight w:val="none"/>
          <w14:textFill>
            <w14:solidFill>
              <w14:schemeClr w14:val="tx1"/>
            </w14:solidFill>
          </w14:textFill>
        </w:rPr>
        <w:t>优化</w:t>
      </w:r>
      <w:bookmarkEnd w:id="685"/>
      <w:bookmarkEnd w:id="686"/>
      <w:bookmarkEnd w:id="687"/>
      <w:bookmarkEnd w:id="694"/>
      <w:bookmarkEnd w:id="695"/>
      <w:bookmarkEnd w:id="696"/>
      <w:bookmarkEnd w:id="697"/>
      <w:bookmarkEnd w:id="698"/>
      <w:bookmarkEnd w:id="699"/>
      <w:bookmarkEnd w:id="700"/>
      <w:bookmarkEnd w:id="701"/>
      <w:bookmarkEnd w:id="702"/>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color w:val="000000" w:themeColor="text1"/>
          <w:kern w:val="0"/>
          <w:sz w:val="32"/>
          <w:szCs w:val="32"/>
          <w:highlight w:val="none"/>
          <w14:textFill>
            <w14:solidFill>
              <w14:schemeClr w14:val="tx1"/>
            </w14:solidFill>
          </w14:textFill>
        </w:rPr>
        <w:t>按照省统一要求，</w:t>
      </w:r>
      <w:r>
        <w:rPr>
          <w:rFonts w:ascii="仿宋_GB2312" w:hAnsi="仿宋" w:eastAsia="仿宋_GB2312" w:cs="E-BX"/>
          <w:color w:val="000000" w:themeColor="text1"/>
          <w:kern w:val="0"/>
          <w:sz w:val="32"/>
          <w:szCs w:val="32"/>
          <w:highlight w:val="none"/>
          <w14:textFill>
            <w14:solidFill>
              <w14:schemeClr w14:val="tx1"/>
            </w14:solidFill>
          </w14:textFill>
        </w:rPr>
        <w:t>落实全程网办目标，</w:t>
      </w:r>
      <w:r>
        <w:rPr>
          <w:rFonts w:hint="eastAsia" w:ascii="仿宋_GB2312" w:hAnsi="仿宋" w:eastAsia="仿宋_GB2312" w:cs="E-BX"/>
          <w:color w:val="000000" w:themeColor="text1"/>
          <w:kern w:val="0"/>
          <w:sz w:val="32"/>
          <w:szCs w:val="32"/>
          <w:highlight w:val="none"/>
          <w14:textFill>
            <w14:solidFill>
              <w14:schemeClr w14:val="tx1"/>
            </w14:solidFill>
          </w14:textFill>
        </w:rPr>
        <w:t>配合市级推进一体化政务服务平台的“四免”优化改造工作。对高频政务服务事项逐一全流程全要素梳理，通过推动电子证照、数据共享检验、电子印章、电子签名、网络实名核验、双向物流寄递、网上缴费、容缺受理、告知承诺等“应用尽用”，实现更多事项全程网办，力争让群众办事“少填、少报、少带、少跑、快办”。</w:t>
      </w:r>
    </w:p>
    <w:bookmarkEnd w:id="688"/>
    <w:bookmarkEnd w:id="689"/>
    <w:bookmarkEnd w:id="690"/>
    <w:bookmarkEnd w:id="691"/>
    <w:bookmarkEnd w:id="692"/>
    <w:bookmarkEnd w:id="693"/>
    <w:p>
      <w:pPr>
        <w:pStyle w:val="4"/>
        <w:keepNext w:val="0"/>
        <w:keepLines w:val="0"/>
        <w:spacing w:before="0" w:after="0" w:line="560" w:lineRule="exact"/>
        <w:ind w:left="567"/>
        <w:rPr>
          <w:rFonts w:ascii="仿宋_GB2312" w:hAnsi="楷体" w:eastAsia="仿宋_GB2312"/>
          <w:color w:val="000000" w:themeColor="text1"/>
          <w:highlight w:val="none"/>
          <w14:textFill>
            <w14:solidFill>
              <w14:schemeClr w14:val="tx1"/>
            </w14:solidFill>
          </w14:textFill>
        </w:rPr>
      </w:pPr>
      <w:bookmarkStart w:id="703" w:name="_Toc64866121"/>
      <w:bookmarkStart w:id="704" w:name="_Toc63303040"/>
      <w:bookmarkStart w:id="705" w:name="_Toc63751450"/>
      <w:bookmarkStart w:id="706" w:name="_Toc64863259"/>
      <w:bookmarkStart w:id="707" w:name="_Toc64873756"/>
      <w:bookmarkStart w:id="708" w:name="_Toc67470172"/>
      <w:bookmarkStart w:id="709" w:name="_Toc68615393"/>
      <w:bookmarkStart w:id="710" w:name="_Toc72936881"/>
      <w:bookmarkStart w:id="711" w:name="_Toc75790546"/>
      <w:r>
        <w:rPr>
          <w:rFonts w:ascii="仿宋_GB2312" w:hAnsi="楷体" w:eastAsia="仿宋_GB2312"/>
          <w:color w:val="000000" w:themeColor="text1"/>
          <w:highlight w:val="none"/>
          <w14:textFill>
            <w14:solidFill>
              <w14:schemeClr w14:val="tx1"/>
            </w14:solidFill>
          </w14:textFill>
        </w:rPr>
        <w:t>4</w:t>
      </w:r>
      <w:r>
        <w:rPr>
          <w:rFonts w:hint="eastAsia" w:ascii="仿宋_GB2312" w:hAnsi="楷体" w:eastAsia="仿宋_GB2312"/>
          <w:color w:val="000000" w:themeColor="text1"/>
          <w:highlight w:val="none"/>
          <w14:textFill>
            <w14:solidFill>
              <w14:schemeClr w14:val="tx1"/>
            </w14:solidFill>
          </w14:textFill>
        </w:rPr>
        <w:t>.畅通服务评价渠道</w:t>
      </w:r>
      <w:bookmarkEnd w:id="703"/>
      <w:bookmarkEnd w:id="704"/>
      <w:bookmarkEnd w:id="705"/>
      <w:bookmarkEnd w:id="706"/>
      <w:bookmarkEnd w:id="707"/>
      <w:bookmarkEnd w:id="708"/>
      <w:bookmarkEnd w:id="709"/>
      <w:bookmarkEnd w:id="710"/>
      <w:bookmarkEnd w:id="711"/>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color w:val="000000" w:themeColor="text1"/>
          <w:kern w:val="0"/>
          <w:sz w:val="32"/>
          <w:szCs w:val="32"/>
          <w:highlight w:val="none"/>
          <w14:textFill>
            <w14:solidFill>
              <w14:schemeClr w14:val="tx1"/>
            </w14:solidFill>
          </w14:textFill>
        </w:rPr>
        <w:t>引导实体大厅办事群众参与政务服务“好差评”。整合咨询投诉服务渠道，组织开展政务服务效能和满意度在线评价，加强对政务服务事项的效能监测和分析。建立健全政务服务规范运行具体管理制度和内部、外部监督机制，不断提升窗口服务质量。对事项上线、政务办件、证照共享、结果送达等事项服务，开展全程监督、评价、投诉并及时反馈，形成上下覆盖、部门联动、标准统一的政务服务咨询投诉体系。</w:t>
      </w:r>
    </w:p>
    <w:p>
      <w:pPr>
        <w:widowControl/>
        <w:spacing w:line="560" w:lineRule="exact"/>
        <w:ind w:firstLine="640" w:firstLineChars="200"/>
        <w:jc w:val="left"/>
        <w:outlineLvl w:val="1"/>
        <w:rPr>
          <w:rFonts w:ascii="楷体_GB2312" w:hAnsi="黑体" w:eastAsia="楷体_GB2312" w:cs="仿宋_GB2312"/>
          <w:color w:val="000000" w:themeColor="text1"/>
          <w:kern w:val="0"/>
          <w:sz w:val="32"/>
          <w:szCs w:val="32"/>
          <w:highlight w:val="none"/>
          <w14:textFill>
            <w14:solidFill>
              <w14:schemeClr w14:val="tx1"/>
            </w14:solidFill>
          </w14:textFill>
        </w:rPr>
      </w:pPr>
      <w:bookmarkStart w:id="712" w:name="_Toc75790547"/>
      <w:r>
        <w:rPr>
          <w:rFonts w:hint="eastAsia" w:ascii="楷体_GB2312" w:hAnsi="黑体" w:eastAsia="楷体_GB2312" w:cs="仿宋_GB2312"/>
          <w:color w:val="000000" w:themeColor="text1"/>
          <w:kern w:val="0"/>
          <w:sz w:val="32"/>
          <w:szCs w:val="32"/>
          <w:highlight w:val="none"/>
          <w14:textFill>
            <w14:solidFill>
              <w14:schemeClr w14:val="tx1"/>
            </w14:solidFill>
          </w14:textFill>
        </w:rPr>
        <w:t>（二）数字助推产业发展</w:t>
      </w:r>
      <w:bookmarkEnd w:id="712"/>
    </w:p>
    <w:p>
      <w:pPr>
        <w:pStyle w:val="62"/>
        <w:autoSpaceDE w:val="0"/>
        <w:autoSpaceDN w:val="0"/>
        <w:adjustRightInd w:val="0"/>
        <w:spacing w:line="560" w:lineRule="exact"/>
        <w:ind w:firstLine="640"/>
        <w:rPr>
          <w:rFonts w:ascii="仿宋_GB2312" w:hAnsi="仿宋" w:eastAsia="仿宋_GB2312" w:cs="E-BX"/>
          <w:color w:val="000000" w:themeColor="text1"/>
          <w:sz w:val="32"/>
          <w:szCs w:val="32"/>
          <w:highlight w:val="none"/>
          <w14:textFill>
            <w14:solidFill>
              <w14:schemeClr w14:val="tx1"/>
            </w14:solidFill>
          </w14:textFill>
        </w:rPr>
      </w:pPr>
      <w:r>
        <w:rPr>
          <w:rFonts w:hint="eastAsia" w:ascii="仿宋_GB2312" w:hAnsi="仿宋" w:eastAsia="仿宋_GB2312" w:cs="E-BX"/>
          <w:color w:val="000000" w:themeColor="text1"/>
          <w:sz w:val="32"/>
          <w:szCs w:val="32"/>
          <w:highlight w:val="none"/>
          <w14:textFill>
            <w14:solidFill>
              <w14:schemeClr w14:val="tx1"/>
            </w14:solidFill>
          </w14:textFill>
        </w:rPr>
        <w:t>打造一流营商环境，促进互联网经济与传统经济融合发展，推动产业结构向中高端迈进，加快现代工业、现代服务业和现代农业智慧化发展，发展壮大数字经济新模式、新业态，培育经开区宜工、宜商的产业环境，</w:t>
      </w:r>
    </w:p>
    <w:p>
      <w:pPr>
        <w:pStyle w:val="4"/>
        <w:keepNext w:val="0"/>
        <w:keepLines w:val="0"/>
        <w:spacing w:before="0" w:after="0" w:line="560" w:lineRule="exact"/>
        <w:ind w:left="567"/>
        <w:rPr>
          <w:rFonts w:ascii="仿宋_GB2312" w:hAnsi="楷体" w:eastAsia="仿宋_GB2312"/>
          <w:color w:val="000000" w:themeColor="text1"/>
          <w:highlight w:val="none"/>
          <w14:textFill>
            <w14:solidFill>
              <w14:schemeClr w14:val="tx1"/>
            </w14:solidFill>
          </w14:textFill>
        </w:rPr>
      </w:pPr>
      <w:bookmarkStart w:id="713" w:name="_Toc72936883"/>
      <w:bookmarkStart w:id="714" w:name="_Toc75790548"/>
      <w:bookmarkStart w:id="715" w:name="_Toc63751454"/>
      <w:bookmarkStart w:id="716" w:name="_Toc64863262"/>
      <w:bookmarkStart w:id="717" w:name="_Toc63303044"/>
      <w:bookmarkStart w:id="718" w:name="_Toc67470175"/>
      <w:bookmarkStart w:id="719" w:name="_Toc64866124"/>
      <w:bookmarkStart w:id="720" w:name="_Toc68615396"/>
      <w:bookmarkStart w:id="721" w:name="_Toc64873759"/>
      <w:r>
        <w:rPr>
          <w:rFonts w:ascii="仿宋_GB2312" w:hAnsi="楷体" w:eastAsia="仿宋_GB2312"/>
          <w:color w:val="000000" w:themeColor="text1"/>
          <w:highlight w:val="none"/>
          <w14:textFill>
            <w14:solidFill>
              <w14:schemeClr w14:val="tx1"/>
            </w14:solidFill>
          </w14:textFill>
        </w:rPr>
        <w:t>1</w:t>
      </w:r>
      <w:r>
        <w:rPr>
          <w:rFonts w:hint="eastAsia" w:ascii="仿宋_GB2312" w:hAnsi="楷体" w:eastAsia="仿宋_GB2312"/>
          <w:color w:val="000000" w:themeColor="text1"/>
          <w:highlight w:val="none"/>
          <w14:textFill>
            <w14:solidFill>
              <w14:schemeClr w14:val="tx1"/>
            </w14:solidFill>
          </w14:textFill>
        </w:rPr>
        <w:t>.推动“全链条”商事登记制度改革</w:t>
      </w:r>
      <w:bookmarkEnd w:id="713"/>
      <w:bookmarkEnd w:id="714"/>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sz w:val="32"/>
          <w:szCs w:val="32"/>
          <w:highlight w:val="none"/>
        </w:rPr>
        <w:t>落实国家、省的统一部署，按照“四个走在全国前列”和“推进营商环境革命性再造”要求，</w:t>
      </w:r>
      <w:r>
        <w:rPr>
          <w:rFonts w:hint="eastAsia" w:ascii="仿宋_GB2312" w:hAnsi="仿宋" w:eastAsia="仿宋_GB2312" w:cs="E-BX"/>
          <w:bCs/>
          <w:color w:val="000000" w:themeColor="text1"/>
          <w:kern w:val="0"/>
          <w:sz w:val="32"/>
          <w:szCs w:val="32"/>
          <w:highlight w:val="none"/>
          <w14:textFill>
            <w14:solidFill>
              <w14:schemeClr w14:val="tx1"/>
            </w14:solidFill>
          </w14:textFill>
        </w:rPr>
        <w:t>推动“全链条”商事登记制度改革。</w:t>
      </w:r>
      <w:r>
        <w:rPr>
          <w:rFonts w:hint="eastAsia" w:ascii="仿宋_GB2312" w:hAnsi="仿宋" w:eastAsia="仿宋_GB2312" w:cs="E-BX"/>
          <w:color w:val="000000" w:themeColor="text1"/>
          <w:kern w:val="0"/>
          <w:sz w:val="32"/>
          <w:szCs w:val="32"/>
          <w:highlight w:val="none"/>
          <w14:textFill>
            <w14:solidFill>
              <w14:schemeClr w14:val="tx1"/>
            </w14:solidFill>
          </w14:textFill>
        </w:rPr>
        <w:t>优化部门间数据联动共享，推动企业开办全环节、全链条智能审批，实现一次录入、一次申办，即可同步完成企业开办涉及的营业执照、刻章备案、银行开户以及税务发票申领，真正实现企业设立登记向“秒批”飞跃；推进企业简易注销登记改革，依托现有政务服务平台，推行全流程一体化企业注销登记服务平台，为企业退出市场提供更加便利化服务。全面推行“证照分离”改革，对事项清单实行动态管理，提升涉企经营许可全流程网上办理能力。</w:t>
      </w:r>
    </w:p>
    <w:p>
      <w:pPr>
        <w:pStyle w:val="4"/>
        <w:keepNext w:val="0"/>
        <w:keepLines w:val="0"/>
        <w:spacing w:before="0" w:after="0" w:line="560" w:lineRule="exact"/>
        <w:ind w:left="567"/>
        <w:rPr>
          <w:rFonts w:ascii="仿宋_GB2312" w:hAnsi="楷体" w:eastAsia="仿宋_GB2312"/>
          <w:b w:val="0"/>
          <w:bCs w:val="0"/>
          <w:color w:val="000000" w:themeColor="text1"/>
          <w:highlight w:val="none"/>
          <w14:textFill>
            <w14:solidFill>
              <w14:schemeClr w14:val="tx1"/>
            </w14:solidFill>
          </w14:textFill>
        </w:rPr>
      </w:pPr>
      <w:bookmarkStart w:id="722" w:name="_Toc72936884"/>
      <w:bookmarkStart w:id="723" w:name="_Toc75790549"/>
      <w:r>
        <w:rPr>
          <w:rFonts w:hint="eastAsia" w:ascii="仿宋_GB2312" w:hAnsi="楷体" w:eastAsia="仿宋_GB2312"/>
          <w:color w:val="000000" w:themeColor="text1"/>
          <w:highlight w:val="none"/>
          <w14:textFill>
            <w14:solidFill>
              <w14:schemeClr w14:val="tx1"/>
            </w14:solidFill>
          </w14:textFill>
        </w:rPr>
        <w:t>2.推广“全周期”工程建设项目审批管理系统应用</w:t>
      </w:r>
      <w:bookmarkEnd w:id="722"/>
      <w:bookmarkEnd w:id="723"/>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color w:val="000000" w:themeColor="text1"/>
          <w:kern w:val="0"/>
          <w:sz w:val="32"/>
          <w:szCs w:val="32"/>
          <w:highlight w:val="none"/>
          <w14:textFill>
            <w14:solidFill>
              <w14:schemeClr w14:val="tx1"/>
            </w14:solidFill>
          </w14:textFill>
        </w:rPr>
        <w:t>配合市级优化工程建设项目审批事项流程，完善并推广“一张蓝图”统筹项目实施、“一个窗口”提供综合服务、“一张表单”整合申报材料、“一套机制”规范审批运行的全市工程建设项目审批和管理体系。推广应用工程建设项目审批管理系统，覆盖各部门、各镇（街），围绕项目立项到竣工验收全生命周期管理，实现统一受理、并联审批、实时流转、跟踪督办、信息共享。优化市政公用设施报装接入审批服务，精简水电气报装程序，推动市政公用服务单位全部进驻政务服务大厅，并推动市政公用服务开展“互联网+线上办理”，提升市政设施服务便利度。</w:t>
      </w:r>
    </w:p>
    <w:p>
      <w:pPr>
        <w:pStyle w:val="4"/>
        <w:keepNext w:val="0"/>
        <w:keepLines w:val="0"/>
        <w:spacing w:before="0" w:after="0" w:line="560" w:lineRule="exact"/>
        <w:ind w:left="567"/>
        <w:rPr>
          <w:rFonts w:ascii="仿宋_GB2312" w:hAnsi="楷体" w:eastAsia="仿宋_GB2312"/>
          <w:color w:val="000000" w:themeColor="text1"/>
          <w:highlight w:val="none"/>
          <w14:textFill>
            <w14:solidFill>
              <w14:schemeClr w14:val="tx1"/>
            </w14:solidFill>
          </w14:textFill>
        </w:rPr>
      </w:pPr>
      <w:bookmarkStart w:id="724" w:name="_Toc75790550"/>
      <w:bookmarkStart w:id="725" w:name="_Toc72936885"/>
      <w:r>
        <w:rPr>
          <w:rFonts w:ascii="仿宋_GB2312" w:hAnsi="楷体" w:eastAsia="仿宋_GB2312"/>
          <w:color w:val="000000" w:themeColor="text1"/>
          <w:highlight w:val="none"/>
          <w14:textFill>
            <w14:solidFill>
              <w14:schemeClr w14:val="tx1"/>
            </w14:solidFill>
          </w14:textFill>
        </w:rPr>
        <w:t>3</w:t>
      </w:r>
      <w:r>
        <w:rPr>
          <w:rFonts w:hint="eastAsia" w:ascii="仿宋_GB2312" w:hAnsi="楷体" w:eastAsia="仿宋_GB2312"/>
          <w:color w:val="000000" w:themeColor="text1"/>
          <w:highlight w:val="none"/>
          <w14:textFill>
            <w14:solidFill>
              <w14:schemeClr w14:val="tx1"/>
            </w14:solidFill>
          </w14:textFill>
        </w:rPr>
        <w:t>.搭建惠企服务平台</w:t>
      </w:r>
      <w:bookmarkEnd w:id="715"/>
      <w:bookmarkEnd w:id="716"/>
      <w:bookmarkEnd w:id="717"/>
      <w:bookmarkEnd w:id="718"/>
      <w:bookmarkEnd w:id="719"/>
      <w:bookmarkEnd w:id="720"/>
      <w:bookmarkEnd w:id="721"/>
      <w:bookmarkEnd w:id="724"/>
      <w:bookmarkEnd w:id="725"/>
    </w:p>
    <w:p>
      <w:pPr>
        <w:pStyle w:val="62"/>
        <w:autoSpaceDE w:val="0"/>
        <w:autoSpaceDN w:val="0"/>
        <w:adjustRightInd w:val="0"/>
        <w:spacing w:line="560" w:lineRule="exact"/>
        <w:ind w:firstLine="640"/>
        <w:rPr>
          <w:rFonts w:hint="eastAsia" w:ascii="仿宋_GB2312" w:hAnsi="仿宋" w:eastAsia="仿宋_GB2312" w:cs="E-BX"/>
          <w:color w:val="000000" w:themeColor="text1"/>
          <w:kern w:val="0"/>
          <w:sz w:val="32"/>
          <w:szCs w:val="32"/>
          <w:highlight w:val="none"/>
          <w:lang w:val="en-US" w:eastAsia="zh-CN" w:bidi="ar-SA"/>
          <w14:textFill>
            <w14:solidFill>
              <w14:schemeClr w14:val="tx1"/>
            </w14:solidFill>
          </w14:textFill>
        </w:rPr>
      </w:pPr>
      <w:r>
        <w:rPr>
          <w:rFonts w:hint="eastAsia" w:ascii="仿宋_GB2312" w:hAnsi="仿宋" w:eastAsia="仿宋_GB2312" w:cs="E-BX"/>
          <w:color w:val="000000" w:themeColor="text1"/>
          <w:kern w:val="0"/>
          <w:sz w:val="32"/>
          <w:szCs w:val="32"/>
          <w:highlight w:val="none"/>
          <w:lang w:val="en-US" w:eastAsia="zh-CN" w:bidi="ar-SA"/>
          <w14:textFill>
            <w14:solidFill>
              <w14:schemeClr w14:val="tx1"/>
            </w14:solidFill>
          </w14:textFill>
        </w:rPr>
        <w:t>建设集数据采集、信息发布、决策支持、政企互动四位一体的惠企服务平台，解决项目招商、企业筹建、投产运营痛点堵点，为广大企业提供“全周期”服务。基于“粤商通”完善企业诉求、征信、服务和监管一体化管理，实现惠企政策的精准推送和智能匹配，提供跨部门涉企政策“一站式”兑现服务。有效整合市场监管、公安等有关政府部门的企业数据和相关政策，拉通企业资源以及银行、第三方机构服务，打造企业综合性服务超市，借助人工智能、大数据技术，对企业数据进行智能精准分析、综合研判，为企业帮扶提供全周期服务管理,提高企业获得感和满意度。</w:t>
      </w:r>
    </w:p>
    <w:p>
      <w:pPr>
        <w:pStyle w:val="4"/>
        <w:keepNext w:val="0"/>
        <w:keepLines w:val="0"/>
        <w:spacing w:before="0" w:after="0" w:line="560" w:lineRule="exact"/>
        <w:ind w:left="567"/>
        <w:rPr>
          <w:rFonts w:ascii="仿宋_GB2312" w:hAnsi="楷体" w:eastAsia="仿宋_GB2312"/>
          <w:color w:val="000000" w:themeColor="text1"/>
          <w:highlight w:val="none"/>
          <w14:textFill>
            <w14:solidFill>
              <w14:schemeClr w14:val="tx1"/>
            </w14:solidFill>
          </w14:textFill>
        </w:rPr>
      </w:pPr>
      <w:bookmarkStart w:id="726" w:name="_Toc64873760"/>
      <w:bookmarkStart w:id="727" w:name="_Toc67470176"/>
      <w:bookmarkStart w:id="728" w:name="_Toc75790551"/>
      <w:bookmarkStart w:id="729" w:name="_Toc58933740"/>
      <w:bookmarkStart w:id="730" w:name="_Toc64866125"/>
      <w:bookmarkStart w:id="731" w:name="_Toc58916905"/>
      <w:bookmarkStart w:id="732" w:name="_Toc72936886"/>
      <w:bookmarkStart w:id="733" w:name="_Toc63751455"/>
      <w:bookmarkStart w:id="734" w:name="_Toc64863263"/>
      <w:bookmarkStart w:id="735" w:name="_Toc68615397"/>
      <w:bookmarkStart w:id="736" w:name="_Toc63303045"/>
      <w:bookmarkStart w:id="737" w:name="_Toc59121411"/>
      <w:r>
        <w:rPr>
          <w:rFonts w:ascii="仿宋_GB2312" w:hAnsi="楷体" w:eastAsia="仿宋_GB2312"/>
          <w:color w:val="000000" w:themeColor="text1"/>
          <w:highlight w:val="none"/>
          <w14:textFill>
            <w14:solidFill>
              <w14:schemeClr w14:val="tx1"/>
            </w14:solidFill>
          </w14:textFill>
        </w:rPr>
        <w:t>4</w:t>
      </w:r>
      <w:r>
        <w:rPr>
          <w:rFonts w:hint="eastAsia" w:ascii="仿宋_GB2312" w:hAnsi="楷体" w:eastAsia="仿宋_GB2312"/>
          <w:color w:val="000000" w:themeColor="text1"/>
          <w:highlight w:val="none"/>
          <w14:textFill>
            <w14:solidFill>
              <w14:schemeClr w14:val="tx1"/>
            </w14:solidFill>
          </w14:textFill>
        </w:rPr>
        <w:t>.</w:t>
      </w:r>
      <w:bookmarkStart w:id="738" w:name="_Hlk60815322"/>
      <w:r>
        <w:rPr>
          <w:rFonts w:hint="eastAsia" w:ascii="仿宋_GB2312" w:hAnsi="楷体" w:eastAsia="仿宋_GB2312"/>
          <w:color w:val="000000" w:themeColor="text1"/>
          <w:highlight w:val="none"/>
          <w14:textFill>
            <w14:solidFill>
              <w14:schemeClr w14:val="tx1"/>
            </w14:solidFill>
          </w14:textFill>
        </w:rPr>
        <w:t>推进智慧园区发展</w:t>
      </w:r>
      <w:bookmarkEnd w:id="726"/>
      <w:bookmarkEnd w:id="727"/>
      <w:bookmarkEnd w:id="728"/>
      <w:bookmarkEnd w:id="729"/>
      <w:bookmarkEnd w:id="730"/>
      <w:bookmarkEnd w:id="731"/>
      <w:bookmarkEnd w:id="732"/>
      <w:bookmarkEnd w:id="733"/>
      <w:bookmarkEnd w:id="734"/>
      <w:bookmarkEnd w:id="735"/>
      <w:bookmarkEnd w:id="736"/>
      <w:bookmarkEnd w:id="737"/>
      <w:bookmarkEnd w:id="738"/>
    </w:p>
    <w:p>
      <w:pPr>
        <w:spacing w:line="560" w:lineRule="exact"/>
        <w:ind w:firstLine="640" w:firstLineChars="200"/>
        <w:jc w:val="left"/>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color w:val="000000" w:themeColor="text1"/>
          <w:kern w:val="0"/>
          <w:sz w:val="32"/>
          <w:szCs w:val="32"/>
          <w:highlight w:val="none"/>
          <w14:textFill>
            <w14:solidFill>
              <w14:schemeClr w14:val="tx1"/>
            </w14:solidFill>
          </w14:textFill>
        </w:rPr>
        <w:t>鼓励有条件的园区开展5G+工业互联网创新应用试点，推进园区产业智能化，培育智慧园区试点示范。</w:t>
      </w:r>
      <w:r>
        <w:rPr>
          <w:rFonts w:hint="eastAsia" w:ascii="仿宋_GB2312" w:hAnsi="仿宋_GB2312" w:eastAsia="仿宋_GB2312" w:cs="仿宋_GB2312"/>
          <w:color w:val="000000" w:themeColor="text1"/>
          <w:sz w:val="32"/>
          <w:szCs w:val="32"/>
          <w:highlight w:val="none"/>
          <w14:textFill>
            <w14:solidFill>
              <w14:schemeClr w14:val="tx1"/>
            </w14:solidFill>
          </w14:textFill>
        </w:rPr>
        <w:t>搭建智慧园区综合管理平台，</w:t>
      </w:r>
      <w:r>
        <w:rPr>
          <w:rFonts w:hint="eastAsia" w:ascii="仿宋_GB2312" w:hAnsi="仿宋" w:eastAsia="仿宋_GB2312" w:cs="E-BX"/>
          <w:color w:val="000000" w:themeColor="text1"/>
          <w:kern w:val="0"/>
          <w:sz w:val="32"/>
          <w:szCs w:val="32"/>
          <w:highlight w:val="none"/>
          <w14:textFill>
            <w14:solidFill>
              <w14:schemeClr w14:val="tx1"/>
            </w14:solidFill>
          </w14:textFill>
        </w:rPr>
        <w:t>形成集运行监测、项目管理、土地管理、招商引资、环境监测、安全监管、协同办公等功能为一体的智慧园区管理和服务平台体系。</w:t>
      </w:r>
    </w:p>
    <w:p>
      <w:pPr>
        <w:pStyle w:val="4"/>
        <w:keepNext w:val="0"/>
        <w:keepLines w:val="0"/>
        <w:spacing w:before="0" w:after="0" w:line="560" w:lineRule="exact"/>
        <w:ind w:left="567"/>
        <w:rPr>
          <w:rFonts w:ascii="仿宋_GB2312" w:hAnsi="楷体" w:eastAsia="仿宋_GB2312"/>
          <w:color w:val="000000" w:themeColor="text1"/>
          <w:highlight w:val="none"/>
          <w14:textFill>
            <w14:solidFill>
              <w14:schemeClr w14:val="tx1"/>
            </w14:solidFill>
          </w14:textFill>
        </w:rPr>
      </w:pPr>
      <w:bookmarkStart w:id="739" w:name="_Toc58916908"/>
      <w:bookmarkStart w:id="740" w:name="_Toc58933743"/>
      <w:bookmarkStart w:id="741" w:name="_Toc59121416"/>
      <w:bookmarkStart w:id="742" w:name="_Toc63303050"/>
      <w:bookmarkStart w:id="743" w:name="_Toc64866130"/>
      <w:bookmarkStart w:id="744" w:name="_Toc64863268"/>
      <w:bookmarkStart w:id="745" w:name="_Toc68615401"/>
      <w:bookmarkStart w:id="746" w:name="_Toc64873765"/>
      <w:bookmarkStart w:id="747" w:name="_Toc63751460"/>
      <w:bookmarkStart w:id="748" w:name="_Toc67470181"/>
      <w:bookmarkStart w:id="749" w:name="_Toc75790552"/>
      <w:bookmarkStart w:id="750" w:name="_Toc72936887"/>
      <w:r>
        <w:rPr>
          <w:rFonts w:ascii="仿宋_GB2312" w:hAnsi="楷体" w:eastAsia="仿宋_GB2312"/>
          <w:color w:val="000000" w:themeColor="text1"/>
          <w:highlight w:val="none"/>
          <w14:textFill>
            <w14:solidFill>
              <w14:schemeClr w14:val="tx1"/>
            </w14:solidFill>
          </w14:textFill>
        </w:rPr>
        <w:t>5</w:t>
      </w:r>
      <w:r>
        <w:rPr>
          <w:rFonts w:hint="eastAsia" w:ascii="仿宋_GB2312" w:hAnsi="楷体" w:eastAsia="仿宋_GB2312"/>
          <w:color w:val="000000" w:themeColor="text1"/>
          <w:highlight w:val="none"/>
          <w14:textFill>
            <w14:solidFill>
              <w14:schemeClr w14:val="tx1"/>
            </w14:solidFill>
          </w14:textFill>
        </w:rPr>
        <w:t>.</w:t>
      </w:r>
      <w:bookmarkStart w:id="751" w:name="_Hlk60815730"/>
      <w:r>
        <w:rPr>
          <w:rFonts w:hint="eastAsia" w:ascii="仿宋_GB2312" w:hAnsi="楷体" w:eastAsia="仿宋_GB2312"/>
          <w:color w:val="000000" w:themeColor="text1"/>
          <w:highlight w:val="none"/>
          <w14:textFill>
            <w14:solidFill>
              <w14:schemeClr w14:val="tx1"/>
            </w14:solidFill>
          </w14:textFill>
        </w:rPr>
        <w:t>推进智慧</w:t>
      </w:r>
      <w:bookmarkEnd w:id="739"/>
      <w:bookmarkEnd w:id="740"/>
      <w:bookmarkEnd w:id="741"/>
      <w:bookmarkEnd w:id="751"/>
      <w:r>
        <w:rPr>
          <w:rFonts w:hint="eastAsia" w:ascii="仿宋_GB2312" w:hAnsi="楷体" w:eastAsia="仿宋_GB2312"/>
          <w:color w:val="000000" w:themeColor="text1"/>
          <w:highlight w:val="none"/>
          <w14:textFill>
            <w14:solidFill>
              <w14:schemeClr w14:val="tx1"/>
            </w14:solidFill>
          </w14:textFill>
        </w:rPr>
        <w:t>农业</w:t>
      </w:r>
      <w:bookmarkEnd w:id="742"/>
      <w:bookmarkEnd w:id="743"/>
      <w:bookmarkEnd w:id="744"/>
      <w:bookmarkEnd w:id="745"/>
      <w:bookmarkEnd w:id="746"/>
      <w:bookmarkEnd w:id="747"/>
      <w:bookmarkEnd w:id="748"/>
      <w:r>
        <w:rPr>
          <w:rFonts w:hint="eastAsia" w:ascii="仿宋_GB2312" w:hAnsi="楷体" w:eastAsia="仿宋_GB2312"/>
          <w:color w:val="000000" w:themeColor="text1"/>
          <w:highlight w:val="none"/>
          <w14:textFill>
            <w14:solidFill>
              <w14:schemeClr w14:val="tx1"/>
            </w14:solidFill>
          </w14:textFill>
        </w:rPr>
        <w:t>发展</w:t>
      </w:r>
      <w:bookmarkEnd w:id="749"/>
      <w:bookmarkEnd w:id="750"/>
    </w:p>
    <w:p>
      <w:pPr>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bookmarkStart w:id="752" w:name="_Hlk60815780"/>
      <w:r>
        <w:rPr>
          <w:rFonts w:hint="eastAsia" w:ascii="仿宋_GB2312" w:hAnsi="仿宋" w:eastAsia="仿宋_GB2312" w:cs="E-BX"/>
          <w:color w:val="000000" w:themeColor="text1"/>
          <w:kern w:val="0"/>
          <w:sz w:val="32"/>
          <w:szCs w:val="32"/>
          <w:highlight w:val="none"/>
          <w14:textFill>
            <w14:solidFill>
              <w14:schemeClr w14:val="tx1"/>
            </w14:solidFill>
          </w14:textFill>
        </w:rPr>
        <w:t>推进硇洲示范性渔港和水果基地、民安和东山街道的蔬菜基地、养殖产业园区的5G智慧农业建设。配合市级建设农业农村大数据平台，提升农业生产和管理水平，构建一套智能化信息服务体系。</w:t>
      </w:r>
      <w:bookmarkEnd w:id="752"/>
    </w:p>
    <w:p>
      <w:pPr>
        <w:pStyle w:val="4"/>
        <w:keepNext w:val="0"/>
        <w:keepLines w:val="0"/>
        <w:spacing w:before="0" w:after="0" w:line="560" w:lineRule="exact"/>
        <w:ind w:left="567"/>
        <w:rPr>
          <w:rFonts w:ascii="仿宋_GB2312" w:hAnsi="仿宋" w:eastAsia="仿宋_GB2312" w:cs="E-BX"/>
          <w:color w:val="000000" w:themeColor="text1"/>
          <w:kern w:val="0"/>
          <w:highlight w:val="none"/>
          <w14:textFill>
            <w14:solidFill>
              <w14:schemeClr w14:val="tx1"/>
            </w14:solidFill>
          </w14:textFill>
        </w:rPr>
      </w:pPr>
      <w:bookmarkStart w:id="753" w:name="_Toc72936888"/>
      <w:bookmarkStart w:id="754" w:name="_Toc75790553"/>
      <w:r>
        <w:rPr>
          <w:rFonts w:hint="eastAsia" w:ascii="仿宋_GB2312" w:hAnsi="仿宋" w:eastAsia="仿宋_GB2312" w:cs="E-BX"/>
          <w:color w:val="000000" w:themeColor="text1"/>
          <w:kern w:val="0"/>
          <w:highlight w:val="none"/>
          <w14:textFill>
            <w14:solidFill>
              <w14:schemeClr w14:val="tx1"/>
            </w14:solidFill>
          </w14:textFill>
        </w:rPr>
        <w:t>6.探索公共信用综合评价和应用机制</w:t>
      </w:r>
      <w:bookmarkEnd w:id="753"/>
      <w:bookmarkEnd w:id="754"/>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color w:val="000000" w:themeColor="text1"/>
          <w:kern w:val="0"/>
          <w:sz w:val="32"/>
          <w:szCs w:val="32"/>
          <w:highlight w:val="none"/>
          <w14:textFill>
            <w14:solidFill>
              <w14:schemeClr w14:val="tx1"/>
            </w14:solidFill>
          </w14:textFill>
        </w:rPr>
        <w:t>基于社会信用信息基础数据库，充分利用全省统一的社会信用公共平台，加快对个人和企业公共信用信息采集和共享，建立个人和企业信用综合评价和应用机制。实施企业信用风险分类监管，将部门涉企信息归集和应用管理行为制度化、规范化。逐步健全以“双随机、一公开”为基本手段、以重点监管为补充、以信用监管为基础的新型监管机制。</w:t>
      </w:r>
    </w:p>
    <w:p>
      <w:pPr>
        <w:pStyle w:val="4"/>
        <w:keepNext w:val="0"/>
        <w:keepLines w:val="0"/>
        <w:spacing w:before="0" w:after="0" w:line="560" w:lineRule="exact"/>
        <w:ind w:left="567"/>
        <w:rPr>
          <w:rFonts w:ascii="仿宋_GB2312" w:hAnsi="楷体" w:eastAsia="仿宋_GB2312"/>
          <w:color w:val="000000" w:themeColor="text1"/>
          <w:highlight w:val="none"/>
          <w14:textFill>
            <w14:solidFill>
              <w14:schemeClr w14:val="tx1"/>
            </w14:solidFill>
          </w14:textFill>
        </w:rPr>
      </w:pPr>
      <w:bookmarkStart w:id="755" w:name="_Toc72936889"/>
      <w:bookmarkStart w:id="756" w:name="_Toc75790554"/>
      <w:r>
        <w:rPr>
          <w:rFonts w:hint="eastAsia" w:ascii="仿宋_GB2312" w:hAnsi="仿宋" w:eastAsia="仿宋_GB2312" w:cs="E-BX"/>
          <w:color w:val="000000" w:themeColor="text1"/>
          <w:kern w:val="0"/>
          <w:highlight w:val="none"/>
          <w14:textFill>
            <w14:solidFill>
              <w14:schemeClr w14:val="tx1"/>
            </w14:solidFill>
          </w14:textFill>
        </w:rPr>
        <w:t>7.优化人才引进服务机制</w:t>
      </w:r>
      <w:bookmarkEnd w:id="755"/>
      <w:bookmarkEnd w:id="756"/>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color w:val="000000" w:themeColor="text1"/>
          <w:kern w:val="0"/>
          <w:sz w:val="32"/>
          <w:szCs w:val="32"/>
          <w:highlight w:val="none"/>
          <w14:textFill>
            <w14:solidFill>
              <w14:schemeClr w14:val="tx1"/>
            </w14:solidFill>
          </w14:textFill>
        </w:rPr>
        <w:t>围绕经开区钢铁、石油、造纸、</w:t>
      </w:r>
      <w:r>
        <w:rPr>
          <w:rFonts w:ascii="仿宋_GB2312" w:hAnsi="仿宋" w:eastAsia="仿宋_GB2312" w:cs="E-BX"/>
          <w:color w:val="000000" w:themeColor="text1"/>
          <w:kern w:val="0"/>
          <w:sz w:val="32"/>
          <w:szCs w:val="32"/>
          <w:highlight w:val="none"/>
          <w14:textFill>
            <w14:solidFill>
              <w14:schemeClr w14:val="tx1"/>
            </w14:solidFill>
          </w14:textFill>
        </w:rPr>
        <w:t>生物医药、机械电器</w:t>
      </w:r>
      <w:r>
        <w:rPr>
          <w:rFonts w:hint="eastAsia" w:ascii="仿宋_GB2312" w:hAnsi="仿宋" w:eastAsia="仿宋_GB2312" w:cs="E-BX"/>
          <w:color w:val="000000" w:themeColor="text1"/>
          <w:kern w:val="0"/>
          <w:sz w:val="32"/>
          <w:szCs w:val="32"/>
          <w:highlight w:val="none"/>
          <w14:textFill>
            <w14:solidFill>
              <w14:schemeClr w14:val="tx1"/>
            </w14:solidFill>
          </w14:textFill>
        </w:rPr>
        <w:t>以及</w:t>
      </w:r>
      <w:r>
        <w:rPr>
          <w:rFonts w:ascii="仿宋_GB2312" w:hAnsi="仿宋" w:eastAsia="仿宋_GB2312" w:cs="E-BX"/>
          <w:color w:val="000000" w:themeColor="text1"/>
          <w:kern w:val="0"/>
          <w:sz w:val="32"/>
          <w:szCs w:val="32"/>
          <w:highlight w:val="none"/>
          <w14:textFill>
            <w14:solidFill>
              <w14:schemeClr w14:val="tx1"/>
            </w14:solidFill>
          </w14:textFill>
        </w:rPr>
        <w:t>海洋高新</w:t>
      </w:r>
      <w:r>
        <w:rPr>
          <w:rFonts w:hint="eastAsia" w:ascii="仿宋_GB2312" w:hAnsi="仿宋" w:eastAsia="仿宋_GB2312" w:cs="E-BX"/>
          <w:color w:val="000000" w:themeColor="text1"/>
          <w:kern w:val="0"/>
          <w:sz w:val="32"/>
          <w:szCs w:val="32"/>
          <w:highlight w:val="none"/>
          <w14:textFill>
            <w14:solidFill>
              <w14:schemeClr w14:val="tx1"/>
            </w14:solidFill>
          </w14:textFill>
        </w:rPr>
        <w:t>等重点领域、重大项目、重点学科，简化引进手续、优化审批服务，大力引进战略性新兴产业高层次急需紧缺人才。对特殊人才采取“一事一议”方式，开辟专门渠道，提供特殊政策，实现精准引进。</w:t>
      </w:r>
    </w:p>
    <w:p>
      <w:pPr>
        <w:pStyle w:val="4"/>
        <w:keepNext w:val="0"/>
        <w:keepLines w:val="0"/>
        <w:spacing w:before="0" w:after="0" w:line="560" w:lineRule="exact"/>
        <w:ind w:left="567"/>
        <w:rPr>
          <w:rFonts w:ascii="仿宋_GB2312" w:hAnsi="楷体" w:eastAsia="仿宋_GB2312"/>
          <w:color w:val="000000" w:themeColor="text1"/>
          <w:highlight w:val="none"/>
          <w14:textFill>
            <w14:solidFill>
              <w14:schemeClr w14:val="tx1"/>
            </w14:solidFill>
          </w14:textFill>
        </w:rPr>
      </w:pPr>
      <w:bookmarkStart w:id="757" w:name="_Toc75790555"/>
      <w:bookmarkStart w:id="758" w:name="_Toc72936890"/>
      <w:r>
        <w:rPr>
          <w:rFonts w:hint="eastAsia" w:ascii="仿宋_GB2312" w:hAnsi="楷体" w:eastAsia="仿宋_GB2312"/>
          <w:color w:val="000000" w:themeColor="text1"/>
          <w:highlight w:val="none"/>
          <w14:textFill>
            <w14:solidFill>
              <w14:schemeClr w14:val="tx1"/>
            </w14:solidFill>
          </w14:textFill>
        </w:rPr>
        <w:t>8.强化知识产权保护数字化水平</w:t>
      </w:r>
      <w:bookmarkEnd w:id="757"/>
      <w:bookmarkEnd w:id="758"/>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color w:val="000000" w:themeColor="text1"/>
          <w:kern w:val="0"/>
          <w:sz w:val="32"/>
          <w:szCs w:val="32"/>
          <w:highlight w:val="none"/>
          <w14:textFill>
            <w14:solidFill>
              <w14:schemeClr w14:val="tx1"/>
            </w14:solidFill>
          </w14:textFill>
        </w:rPr>
        <w:t>配合省、市不断完善知识产权数据管理和服务体系，扩展知识产权数据资源规模和渠道，强化数据资源管理和使用成效。充分利用信息技术手段，进一步深化知识产权维权援助工作，提供“一站式”综合维权援助解决方案，实现维权服务全省“一张网”。</w:t>
      </w:r>
    </w:p>
    <w:p>
      <w:pPr>
        <w:widowControl/>
        <w:spacing w:line="560" w:lineRule="exact"/>
        <w:ind w:firstLine="640" w:firstLineChars="200"/>
        <w:jc w:val="left"/>
        <w:outlineLvl w:val="1"/>
        <w:rPr>
          <w:rFonts w:ascii="楷体_GB2312" w:hAnsi="黑体" w:eastAsia="楷体_GB2312" w:cs="仿宋_GB2312"/>
          <w:color w:val="000000" w:themeColor="text1"/>
          <w:kern w:val="0"/>
          <w:sz w:val="32"/>
          <w:szCs w:val="32"/>
          <w:highlight w:val="none"/>
          <w14:textFill>
            <w14:solidFill>
              <w14:schemeClr w14:val="tx1"/>
            </w14:solidFill>
          </w14:textFill>
        </w:rPr>
      </w:pPr>
      <w:bookmarkStart w:id="759" w:name="_Toc75790556"/>
      <w:r>
        <w:rPr>
          <w:rFonts w:hint="eastAsia" w:ascii="楷体_GB2312" w:hAnsi="黑体" w:eastAsia="楷体_GB2312" w:cs="仿宋_GB2312"/>
          <w:color w:val="000000" w:themeColor="text1"/>
          <w:kern w:val="0"/>
          <w:sz w:val="32"/>
          <w:szCs w:val="32"/>
          <w:highlight w:val="none"/>
          <w14:textFill>
            <w14:solidFill>
              <w14:schemeClr w14:val="tx1"/>
            </w14:solidFill>
          </w14:textFill>
        </w:rPr>
        <w:t>（三）数字强化民生保障</w:t>
      </w:r>
      <w:bookmarkEnd w:id="759"/>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color w:val="000000" w:themeColor="text1"/>
          <w:kern w:val="0"/>
          <w:sz w:val="32"/>
          <w:szCs w:val="32"/>
          <w:highlight w:val="none"/>
          <w14:textFill>
            <w14:solidFill>
              <w14:schemeClr w14:val="tx1"/>
            </w14:solidFill>
          </w14:textFill>
        </w:rPr>
        <w:t>围绕教育、医疗、社区、文旅等民生领域，发挥数字化资源整合、多样化渠道、模式创新等优势，构建线上线下融合、城乡服务一体、普惠便捷的公共服务体系，为企业群众提供多元化、便捷化的公共服务，打造宜居城区，提升民生福祉。</w:t>
      </w:r>
    </w:p>
    <w:p>
      <w:pPr>
        <w:pStyle w:val="4"/>
        <w:keepNext w:val="0"/>
        <w:keepLines w:val="0"/>
        <w:spacing w:before="0" w:after="0" w:line="560" w:lineRule="exact"/>
        <w:ind w:left="567"/>
        <w:rPr>
          <w:rFonts w:ascii="仿宋_GB2312" w:hAnsi="楷体" w:eastAsia="仿宋_GB2312"/>
          <w:color w:val="000000" w:themeColor="text1"/>
          <w:highlight w:val="none"/>
          <w14:textFill>
            <w14:solidFill>
              <w14:schemeClr w14:val="tx1"/>
            </w14:solidFill>
          </w14:textFill>
        </w:rPr>
      </w:pPr>
      <w:bookmarkStart w:id="760" w:name="_Toc57017217"/>
      <w:bookmarkStart w:id="761" w:name="_Toc67470185"/>
      <w:bookmarkStart w:id="762" w:name="_Toc59121419"/>
      <w:bookmarkStart w:id="763" w:name="_Toc64863272"/>
      <w:bookmarkStart w:id="764" w:name="_Toc64873769"/>
      <w:bookmarkStart w:id="765" w:name="_Toc58570012"/>
      <w:bookmarkStart w:id="766" w:name="_Toc57015494"/>
      <w:bookmarkStart w:id="767" w:name="_Toc64866134"/>
      <w:bookmarkStart w:id="768" w:name="_Toc68615405"/>
      <w:bookmarkStart w:id="769" w:name="_Toc58916911"/>
      <w:bookmarkStart w:id="770" w:name="_Toc63751464"/>
      <w:bookmarkStart w:id="771" w:name="_Toc75790557"/>
      <w:bookmarkStart w:id="772" w:name="_Toc57929383"/>
      <w:bookmarkStart w:id="773" w:name="_Toc56903832"/>
      <w:bookmarkStart w:id="774" w:name="_Toc72936892"/>
      <w:bookmarkStart w:id="775" w:name="_Toc57015387"/>
      <w:bookmarkStart w:id="776" w:name="_Toc63303054"/>
      <w:bookmarkStart w:id="777" w:name="_Toc57598758"/>
      <w:bookmarkStart w:id="778" w:name="_Toc58933746"/>
      <w:r>
        <w:rPr>
          <w:rFonts w:ascii="仿宋_GB2312" w:hAnsi="楷体" w:eastAsia="仿宋_GB2312"/>
          <w:color w:val="000000" w:themeColor="text1"/>
          <w:highlight w:val="none"/>
          <w14:textFill>
            <w14:solidFill>
              <w14:schemeClr w14:val="tx1"/>
            </w14:solidFill>
          </w14:textFill>
        </w:rPr>
        <w:t>1.</w:t>
      </w:r>
      <w:r>
        <w:rPr>
          <w:rFonts w:hint="eastAsia" w:ascii="仿宋_GB2312" w:hAnsi="楷体" w:eastAsia="仿宋_GB2312"/>
          <w:color w:val="000000" w:themeColor="text1"/>
          <w:highlight w:val="none"/>
          <w14:textFill>
            <w14:solidFill>
              <w14:schemeClr w14:val="tx1"/>
            </w14:solidFill>
          </w14:textFill>
        </w:rPr>
        <w:t>数字教育</w:t>
      </w:r>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color w:val="000000" w:themeColor="text1"/>
          <w:kern w:val="0"/>
          <w:sz w:val="32"/>
          <w:szCs w:val="32"/>
          <w:highlight w:val="none"/>
          <w14:textFill>
            <w14:solidFill>
              <w14:schemeClr w14:val="tx1"/>
            </w14:solidFill>
          </w14:textFill>
        </w:rPr>
        <w:t>深入推进“教育信息化2.0”，完善学校信息化基础设施，推进校园无线网络建设，基本实现各级各类学校宽带网络的全面覆盖，多媒体教学设备的全面普及。支持各级各类学校建设智慧校园，综合利用互联网、大数据、人工智能和虚拟现实技术探索未来教育管理新模式。积极发展成人教育、老年教育，为群众提供低门槛、智慧化的在线教育服务，为从业者提供职业技能培训。</w:t>
      </w:r>
    </w:p>
    <w:p>
      <w:pPr>
        <w:pStyle w:val="4"/>
        <w:keepNext w:val="0"/>
        <w:keepLines w:val="0"/>
        <w:spacing w:before="0" w:after="0" w:line="560" w:lineRule="exact"/>
        <w:ind w:left="567"/>
        <w:rPr>
          <w:rFonts w:ascii="仿宋_GB2312" w:hAnsi="楷体" w:eastAsia="仿宋_GB2312"/>
          <w:color w:val="000000" w:themeColor="text1"/>
          <w:highlight w:val="none"/>
          <w14:textFill>
            <w14:solidFill>
              <w14:schemeClr w14:val="tx1"/>
            </w14:solidFill>
          </w14:textFill>
        </w:rPr>
      </w:pPr>
      <w:bookmarkStart w:id="779" w:name="_Toc57015388"/>
      <w:bookmarkStart w:id="780" w:name="_Toc57015495"/>
      <w:bookmarkStart w:id="781" w:name="_Toc57017218"/>
      <w:bookmarkStart w:id="782" w:name="_Toc57598759"/>
      <w:bookmarkStart w:id="783" w:name="_Toc56903833"/>
      <w:bookmarkStart w:id="784" w:name="_Toc64873770"/>
      <w:bookmarkStart w:id="785" w:name="_Toc64863273"/>
      <w:bookmarkStart w:id="786" w:name="_Toc57929384"/>
      <w:bookmarkStart w:id="787" w:name="_Toc58933747"/>
      <w:bookmarkStart w:id="788" w:name="_Toc58570013"/>
      <w:bookmarkStart w:id="789" w:name="_Toc59121420"/>
      <w:bookmarkStart w:id="790" w:name="_Toc63751465"/>
      <w:bookmarkStart w:id="791" w:name="_Toc75790558"/>
      <w:bookmarkStart w:id="792" w:name="_Toc72936893"/>
      <w:bookmarkStart w:id="793" w:name="_Toc64866135"/>
      <w:bookmarkStart w:id="794" w:name="_Toc68615406"/>
      <w:bookmarkStart w:id="795" w:name="_Toc67470186"/>
      <w:bookmarkStart w:id="796" w:name="_Toc58916912"/>
      <w:bookmarkStart w:id="797" w:name="_Toc63303055"/>
      <w:r>
        <w:rPr>
          <w:rFonts w:ascii="仿宋_GB2312" w:hAnsi="楷体" w:eastAsia="仿宋_GB2312"/>
          <w:color w:val="000000" w:themeColor="text1"/>
          <w:highlight w:val="none"/>
          <w14:textFill>
            <w14:solidFill>
              <w14:schemeClr w14:val="tx1"/>
            </w14:solidFill>
          </w14:textFill>
        </w:rPr>
        <w:t>2.</w:t>
      </w:r>
      <w:r>
        <w:rPr>
          <w:rFonts w:hint="eastAsia" w:ascii="仿宋_GB2312" w:hAnsi="楷体" w:eastAsia="仿宋_GB2312"/>
          <w:color w:val="000000" w:themeColor="text1"/>
          <w:highlight w:val="none"/>
          <w14:textFill>
            <w14:solidFill>
              <w14:schemeClr w14:val="tx1"/>
            </w14:solidFill>
          </w14:textFill>
        </w:rPr>
        <w:t>智慧医疗</w:t>
      </w:r>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color w:val="000000" w:themeColor="text1"/>
          <w:kern w:val="0"/>
          <w:sz w:val="32"/>
          <w:szCs w:val="32"/>
          <w:highlight w:val="none"/>
          <w14:textFill>
            <w14:solidFill>
              <w14:schemeClr w14:val="tx1"/>
            </w14:solidFill>
          </w14:textFill>
        </w:rPr>
        <w:t>配合市级全民健康信息平台建设，强化后疫情时代疫情检测分析能力。全面推广电子社保卡应用，深化社保、医保业务一网通办、全城通办。建立健全覆盖全民、城乡统筹的多层次医疗保障体系，确保医疗保障资金合理使用、安全可控，增强人民群众医疗保障获得感。加强医院信息化标准建设，推进区域卫生信息化基础设施建设。</w:t>
      </w:r>
    </w:p>
    <w:p>
      <w:pPr>
        <w:pStyle w:val="4"/>
        <w:keepNext w:val="0"/>
        <w:keepLines w:val="0"/>
        <w:spacing w:before="0" w:after="0" w:line="560" w:lineRule="exact"/>
        <w:ind w:left="567"/>
        <w:rPr>
          <w:rFonts w:ascii="仿宋_GB2312" w:hAnsi="楷体" w:eastAsia="仿宋_GB2312"/>
          <w:color w:val="000000" w:themeColor="text1"/>
          <w:highlight w:val="none"/>
          <w14:textFill>
            <w14:solidFill>
              <w14:schemeClr w14:val="tx1"/>
            </w14:solidFill>
          </w14:textFill>
        </w:rPr>
      </w:pPr>
      <w:bookmarkStart w:id="798" w:name="_Toc64873771"/>
      <w:bookmarkStart w:id="799" w:name="_Toc57017219"/>
      <w:bookmarkStart w:id="800" w:name="_Toc63303056"/>
      <w:bookmarkStart w:id="801" w:name="_Toc64866136"/>
      <w:bookmarkStart w:id="802" w:name="_Toc57015389"/>
      <w:bookmarkStart w:id="803" w:name="_Toc57929385"/>
      <w:bookmarkStart w:id="804" w:name="_Toc59121421"/>
      <w:bookmarkStart w:id="805" w:name="_Toc67470187"/>
      <w:bookmarkStart w:id="806" w:name="_Toc68615407"/>
      <w:bookmarkStart w:id="807" w:name="_Toc63751466"/>
      <w:bookmarkStart w:id="808" w:name="_Toc75790559"/>
      <w:bookmarkStart w:id="809" w:name="_Toc57598760"/>
      <w:bookmarkStart w:id="810" w:name="_Toc58933748"/>
      <w:bookmarkStart w:id="811" w:name="_Toc64863274"/>
      <w:bookmarkStart w:id="812" w:name="_Toc56903834"/>
      <w:bookmarkStart w:id="813" w:name="_Toc58916913"/>
      <w:bookmarkStart w:id="814" w:name="_Toc58570014"/>
      <w:bookmarkStart w:id="815" w:name="_Toc57015496"/>
      <w:bookmarkStart w:id="816" w:name="_Toc72936894"/>
      <w:r>
        <w:rPr>
          <w:rFonts w:ascii="仿宋_GB2312" w:hAnsi="楷体" w:eastAsia="仿宋_GB2312"/>
          <w:color w:val="000000" w:themeColor="text1"/>
          <w:highlight w:val="none"/>
          <w14:textFill>
            <w14:solidFill>
              <w14:schemeClr w14:val="tx1"/>
            </w14:solidFill>
          </w14:textFill>
        </w:rPr>
        <w:t>3.</w:t>
      </w:r>
      <w:r>
        <w:rPr>
          <w:rFonts w:hint="eastAsia" w:ascii="仿宋_GB2312" w:hAnsi="楷体" w:eastAsia="仿宋_GB2312"/>
          <w:color w:val="000000" w:themeColor="text1"/>
          <w:highlight w:val="none"/>
          <w14:textFill>
            <w14:solidFill>
              <w14:schemeClr w14:val="tx1"/>
            </w14:solidFill>
          </w14:textFill>
        </w:rPr>
        <w:t>智慧社区</w:t>
      </w:r>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bookmarkStart w:id="817" w:name="_Hlk73680074"/>
      <w:r>
        <w:rPr>
          <w:rFonts w:hint="eastAsia" w:ascii="仿宋_GB2312" w:hAnsi="仿宋" w:eastAsia="仿宋_GB2312" w:cs="E-BX"/>
          <w:kern w:val="0"/>
          <w:sz w:val="32"/>
          <w:szCs w:val="32"/>
          <w:highlight w:val="none"/>
        </w:rPr>
        <w:t>加快线上线下相结合的智慧社区服务体系建设，对现有网格的划分、功能、力量、职责等进行优化集约，跨系统、跨部门、跨地域地实现就业、社保、救助、医疗、法律、居民办事等各类公共民生服务，落实市级智慧社区平台推广与应用，推动各项社区服务和管理功能综合集成。</w:t>
      </w:r>
      <w:bookmarkEnd w:id="817"/>
      <w:r>
        <w:rPr>
          <w:rFonts w:hint="eastAsia" w:ascii="仿宋_GB2312" w:hAnsi="仿宋" w:eastAsia="仿宋_GB2312" w:cs="E-BX"/>
          <w:kern w:val="0"/>
          <w:sz w:val="32"/>
          <w:szCs w:val="32"/>
          <w:highlight w:val="none"/>
        </w:rPr>
        <w:t>推动标准化、规范化智慧小区建设。建设面向社会需求的社区养老服务体系</w:t>
      </w:r>
      <w:r>
        <w:rPr>
          <w:rFonts w:ascii="仿宋_GB2312" w:hAnsi="仿宋" w:eastAsia="仿宋_GB2312" w:cs="E-BX"/>
          <w:kern w:val="0"/>
          <w:sz w:val="32"/>
          <w:szCs w:val="32"/>
          <w:highlight w:val="none"/>
        </w:rPr>
        <w:t>,鼓励社会资本多元化投入，构建起以社区为依托,服务机</w:t>
      </w:r>
      <w:r>
        <w:rPr>
          <w:rFonts w:hint="eastAsia" w:ascii="仿宋_GB2312" w:hAnsi="仿宋" w:eastAsia="仿宋_GB2312" w:cs="E-BX"/>
          <w:kern w:val="0"/>
          <w:sz w:val="32"/>
          <w:szCs w:val="32"/>
          <w:highlight w:val="none"/>
        </w:rPr>
        <w:t>构和社区义工为支撑的养老信息服务供应体系。</w:t>
      </w:r>
    </w:p>
    <w:p>
      <w:pPr>
        <w:pStyle w:val="4"/>
        <w:keepNext w:val="0"/>
        <w:keepLines w:val="0"/>
        <w:spacing w:before="0" w:after="0" w:line="560" w:lineRule="exact"/>
        <w:ind w:left="567"/>
        <w:rPr>
          <w:rFonts w:ascii="仿宋_GB2312" w:hAnsi="楷体" w:eastAsia="仿宋_GB2312"/>
          <w:color w:val="000000" w:themeColor="text1"/>
          <w:highlight w:val="none"/>
          <w14:textFill>
            <w14:solidFill>
              <w14:schemeClr w14:val="tx1"/>
            </w14:solidFill>
          </w14:textFill>
        </w:rPr>
      </w:pPr>
      <w:bookmarkStart w:id="818" w:name="_Toc64866137"/>
      <w:bookmarkStart w:id="819" w:name="_Toc57929386"/>
      <w:bookmarkStart w:id="820" w:name="_Toc58570015"/>
      <w:bookmarkStart w:id="821" w:name="_Toc58933749"/>
      <w:bookmarkStart w:id="822" w:name="_Toc64873772"/>
      <w:bookmarkStart w:id="823" w:name="_Toc67470188"/>
      <w:bookmarkStart w:id="824" w:name="_Toc59121422"/>
      <w:bookmarkStart w:id="825" w:name="_Toc63751467"/>
      <w:bookmarkStart w:id="826" w:name="_Toc58916914"/>
      <w:bookmarkStart w:id="827" w:name="_Toc72936895"/>
      <w:bookmarkStart w:id="828" w:name="_Toc75790560"/>
      <w:bookmarkStart w:id="829" w:name="_Toc64863275"/>
      <w:bookmarkStart w:id="830" w:name="_Toc57598761"/>
      <w:bookmarkStart w:id="831" w:name="_Toc63303057"/>
      <w:bookmarkStart w:id="832" w:name="_Toc68615408"/>
      <w:bookmarkStart w:id="833" w:name="_Toc57017220"/>
      <w:bookmarkStart w:id="834" w:name="_Toc56903835"/>
      <w:bookmarkStart w:id="835" w:name="_Toc57015390"/>
      <w:bookmarkStart w:id="836" w:name="_Toc57015497"/>
      <w:r>
        <w:rPr>
          <w:rFonts w:ascii="仿宋_GB2312" w:hAnsi="楷体" w:eastAsia="仿宋_GB2312"/>
          <w:color w:val="000000" w:themeColor="text1"/>
          <w:highlight w:val="none"/>
          <w14:textFill>
            <w14:solidFill>
              <w14:schemeClr w14:val="tx1"/>
            </w14:solidFill>
          </w14:textFill>
        </w:rPr>
        <w:t>4.</w:t>
      </w:r>
      <w:r>
        <w:rPr>
          <w:rFonts w:hint="eastAsia" w:ascii="仿宋_GB2312" w:hAnsi="楷体" w:eastAsia="仿宋_GB2312"/>
          <w:color w:val="000000" w:themeColor="text1"/>
          <w:highlight w:val="none"/>
          <w14:textFill>
            <w14:solidFill>
              <w14:schemeClr w14:val="tx1"/>
            </w14:solidFill>
          </w14:textFill>
        </w:rPr>
        <w:t>智慧旅游</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color w:val="000000" w:themeColor="text1"/>
          <w:kern w:val="0"/>
          <w:sz w:val="32"/>
          <w:szCs w:val="32"/>
          <w:highlight w:val="none"/>
          <w14:textFill>
            <w14:solidFill>
              <w14:schemeClr w14:val="tx1"/>
            </w14:solidFill>
          </w14:textFill>
        </w:rPr>
        <w:t>推进旅游基础设施建设。在湛江东海岛龙海天景区、硇洲岛旅游、东海岛庵里规划建设的同时，同步规划景区信息基础设施，充分运用5G、云计算、大数据、AR/VR等技术，整合并开发激活旅游要素资源，构建覆盖景点、交通、酒店和购物的旅游行业公共服务体系。配合市级建设全域文化旅游体育数据中心，基于经开区数字决策平台，拓展旅游专题，为经开区全域旅游发展提供支撑。</w:t>
      </w:r>
    </w:p>
    <w:bookmarkEnd w:id="833"/>
    <w:bookmarkEnd w:id="834"/>
    <w:bookmarkEnd w:id="835"/>
    <w:bookmarkEnd w:id="836"/>
    <w:p>
      <w:pPr>
        <w:widowControl/>
        <w:spacing w:line="560" w:lineRule="exact"/>
        <w:ind w:firstLine="640" w:firstLineChars="200"/>
        <w:jc w:val="left"/>
        <w:outlineLvl w:val="1"/>
        <w:rPr>
          <w:rFonts w:ascii="楷体_GB2312" w:hAnsi="黑体" w:eastAsia="楷体_GB2312" w:cs="仿宋_GB2312"/>
          <w:color w:val="000000" w:themeColor="text1"/>
          <w:kern w:val="0"/>
          <w:sz w:val="32"/>
          <w:szCs w:val="32"/>
          <w:highlight w:val="none"/>
          <w14:textFill>
            <w14:solidFill>
              <w14:schemeClr w14:val="tx1"/>
            </w14:solidFill>
          </w14:textFill>
        </w:rPr>
      </w:pPr>
      <w:bookmarkStart w:id="837" w:name="_Toc75790561"/>
      <w:r>
        <w:rPr>
          <w:rFonts w:hint="eastAsia" w:ascii="楷体_GB2312" w:hAnsi="黑体" w:eastAsia="楷体_GB2312" w:cs="仿宋_GB2312"/>
          <w:color w:val="000000" w:themeColor="text1"/>
          <w:kern w:val="0"/>
          <w:sz w:val="32"/>
          <w:szCs w:val="32"/>
          <w:highlight w:val="none"/>
          <w14:textFill>
            <w14:solidFill>
              <w14:schemeClr w14:val="tx1"/>
            </w14:solidFill>
          </w14:textFill>
        </w:rPr>
        <w:t>（四）数字赋能城区治理</w:t>
      </w:r>
      <w:bookmarkEnd w:id="837"/>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color w:val="000000" w:themeColor="text1"/>
          <w:kern w:val="0"/>
          <w:sz w:val="32"/>
          <w:szCs w:val="32"/>
          <w:highlight w:val="none"/>
          <w14:textFill>
            <w14:solidFill>
              <w14:schemeClr w14:val="tx1"/>
            </w14:solidFill>
          </w14:textFill>
        </w:rPr>
        <w:t>重点推进监管、安防、司法、应急、环境保护等方面的创新应用，构建跨部门联动，形成覆盖广、多层次、高质量的城区治理体系，提升城区管理数字化、应急快速化、决策科学化水平，使整个城区治理更加细致细腻，为全区经济社会发展营造更加和谐稳定的社会环境，让企业群众安心。</w:t>
      </w:r>
    </w:p>
    <w:p>
      <w:pPr>
        <w:pStyle w:val="4"/>
        <w:keepNext w:val="0"/>
        <w:keepLines w:val="0"/>
        <w:spacing w:before="0" w:after="0" w:line="560" w:lineRule="exact"/>
        <w:ind w:left="567"/>
        <w:rPr>
          <w:rFonts w:ascii="仿宋_GB2312" w:hAnsi="楷体" w:eastAsia="仿宋_GB2312"/>
          <w:color w:val="000000" w:themeColor="text1"/>
          <w:highlight w:val="none"/>
          <w14:textFill>
            <w14:solidFill>
              <w14:schemeClr w14:val="tx1"/>
            </w14:solidFill>
          </w14:textFill>
        </w:rPr>
      </w:pPr>
      <w:bookmarkStart w:id="838" w:name="_Toc64873774"/>
      <w:bookmarkStart w:id="839" w:name="_Toc72936897"/>
      <w:bookmarkStart w:id="840" w:name="_Toc64863277"/>
      <w:bookmarkStart w:id="841" w:name="_Toc64866139"/>
      <w:bookmarkStart w:id="842" w:name="_Toc75790562"/>
      <w:bookmarkStart w:id="843" w:name="_Toc67470190"/>
      <w:bookmarkStart w:id="844" w:name="_Toc68615410"/>
      <w:bookmarkStart w:id="845" w:name="_Toc57015500"/>
      <w:bookmarkStart w:id="846" w:name="_Toc57017223"/>
      <w:bookmarkStart w:id="847" w:name="_Toc57929390"/>
      <w:bookmarkStart w:id="848" w:name="_Toc63303060"/>
      <w:bookmarkStart w:id="849" w:name="_Toc63751470"/>
      <w:bookmarkStart w:id="850" w:name="_Toc58933752"/>
      <w:bookmarkStart w:id="851" w:name="_Toc59121425"/>
      <w:bookmarkStart w:id="852" w:name="_Toc56903838"/>
      <w:bookmarkStart w:id="853" w:name="_Toc58570019"/>
      <w:bookmarkStart w:id="854" w:name="_Toc58916917"/>
      <w:bookmarkStart w:id="855" w:name="_Toc57598765"/>
      <w:bookmarkStart w:id="856" w:name="_Toc57015393"/>
      <w:r>
        <w:rPr>
          <w:rFonts w:ascii="仿宋_GB2312" w:hAnsi="楷体" w:eastAsia="仿宋_GB2312"/>
          <w:color w:val="000000" w:themeColor="text1"/>
          <w:highlight w:val="none"/>
          <w14:textFill>
            <w14:solidFill>
              <w14:schemeClr w14:val="tx1"/>
            </w14:solidFill>
          </w14:textFill>
        </w:rPr>
        <w:t>1</w:t>
      </w:r>
      <w:r>
        <w:rPr>
          <w:rFonts w:hint="eastAsia" w:ascii="仿宋_GB2312" w:hAnsi="楷体" w:eastAsia="仿宋_GB2312"/>
          <w:color w:val="000000" w:themeColor="text1"/>
          <w:highlight w:val="none"/>
          <w14:textFill>
            <w14:solidFill>
              <w14:schemeClr w14:val="tx1"/>
            </w14:solidFill>
          </w14:textFill>
        </w:rPr>
        <w:t>.</w:t>
      </w:r>
      <w:bookmarkStart w:id="857" w:name="_Toc63751475"/>
      <w:r>
        <w:rPr>
          <w:rFonts w:hint="eastAsia" w:ascii="仿宋_GB2312" w:hAnsi="楷体" w:eastAsia="仿宋_GB2312"/>
          <w:color w:val="000000" w:themeColor="text1"/>
          <w:highlight w:val="none"/>
          <w14:textFill>
            <w14:solidFill>
              <w14:schemeClr w14:val="tx1"/>
            </w14:solidFill>
          </w14:textFill>
        </w:rPr>
        <w:t>智慧</w:t>
      </w:r>
      <w:bookmarkEnd w:id="857"/>
      <w:r>
        <w:rPr>
          <w:rFonts w:hint="eastAsia" w:ascii="仿宋_GB2312" w:hAnsi="楷体" w:eastAsia="仿宋_GB2312"/>
          <w:color w:val="000000" w:themeColor="text1"/>
          <w:highlight w:val="none"/>
          <w14:textFill>
            <w14:solidFill>
              <w14:schemeClr w14:val="tx1"/>
            </w14:solidFill>
          </w14:textFill>
        </w:rPr>
        <w:t>城管</w:t>
      </w:r>
      <w:bookmarkEnd w:id="838"/>
      <w:bookmarkEnd w:id="839"/>
      <w:bookmarkEnd w:id="840"/>
      <w:bookmarkEnd w:id="841"/>
      <w:bookmarkEnd w:id="842"/>
      <w:bookmarkEnd w:id="843"/>
      <w:bookmarkEnd w:id="844"/>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color w:val="000000" w:themeColor="text1"/>
          <w:kern w:val="0"/>
          <w:sz w:val="32"/>
          <w:szCs w:val="32"/>
          <w:highlight w:val="none"/>
          <w14:textFill>
            <w14:solidFill>
              <w14:schemeClr w14:val="tx1"/>
            </w14:solidFill>
          </w14:textFill>
        </w:rPr>
        <w:t>依托湛江市数字城管系统，打造体系完善、业务场景完整、智能化程度高的智慧城管，扩大城区管理可视、可控范围，提高应用的智能化程度、增强市民互动参与程度、优化城管体制与运行机制，实现城区治理“快”、“精”、“准”。加强城区基础设施智慧化管理与监控服务，提城区精细化管理服务水平，推动实现城区治理体系和治理能力现代化。</w:t>
      </w:r>
    </w:p>
    <w:p>
      <w:pPr>
        <w:pStyle w:val="4"/>
        <w:keepNext w:val="0"/>
        <w:keepLines w:val="0"/>
        <w:spacing w:before="0" w:after="0" w:line="560" w:lineRule="exact"/>
        <w:ind w:left="567"/>
        <w:rPr>
          <w:rFonts w:ascii="仿宋_GB2312" w:hAnsi="楷体" w:eastAsia="仿宋_GB2312"/>
          <w:color w:val="000000" w:themeColor="text1"/>
          <w:highlight w:val="none"/>
          <w14:textFill>
            <w14:solidFill>
              <w14:schemeClr w14:val="tx1"/>
            </w14:solidFill>
          </w14:textFill>
        </w:rPr>
      </w:pPr>
      <w:bookmarkStart w:id="858" w:name="_Toc64866140"/>
      <w:bookmarkStart w:id="859" w:name="_Toc64863278"/>
      <w:bookmarkStart w:id="860" w:name="_Toc64873775"/>
      <w:bookmarkStart w:id="861" w:name="_Toc72936898"/>
      <w:bookmarkStart w:id="862" w:name="_Toc75790563"/>
      <w:bookmarkStart w:id="863" w:name="_Toc68615411"/>
      <w:bookmarkStart w:id="864" w:name="_Toc67470191"/>
      <w:r>
        <w:rPr>
          <w:rFonts w:hint="eastAsia" w:ascii="仿宋_GB2312" w:hAnsi="楷体" w:eastAsia="仿宋_GB2312"/>
          <w:color w:val="000000" w:themeColor="text1"/>
          <w:highlight w:val="none"/>
          <w14:textFill>
            <w14:solidFill>
              <w14:schemeClr w14:val="tx1"/>
            </w14:solidFill>
          </w14:textFill>
        </w:rPr>
        <w:t>2</w:t>
      </w:r>
      <w:r>
        <w:rPr>
          <w:rFonts w:ascii="仿宋_GB2312" w:hAnsi="楷体" w:eastAsia="仿宋_GB2312"/>
          <w:color w:val="000000" w:themeColor="text1"/>
          <w:highlight w:val="none"/>
          <w14:textFill>
            <w14:solidFill>
              <w14:schemeClr w14:val="tx1"/>
            </w14:solidFill>
          </w14:textFill>
        </w:rPr>
        <w:t>.</w:t>
      </w:r>
      <w:r>
        <w:rPr>
          <w:rFonts w:hint="eastAsia" w:ascii="仿宋_GB2312" w:hAnsi="楷体" w:eastAsia="仿宋_GB2312"/>
          <w:color w:val="000000" w:themeColor="text1"/>
          <w:highlight w:val="none"/>
          <w14:textFill>
            <w14:solidFill>
              <w14:schemeClr w14:val="tx1"/>
            </w14:solidFill>
          </w14:textFill>
        </w:rPr>
        <w:t>智慧</w:t>
      </w:r>
      <w:bookmarkEnd w:id="845"/>
      <w:bookmarkEnd w:id="846"/>
      <w:bookmarkEnd w:id="847"/>
      <w:bookmarkEnd w:id="848"/>
      <w:bookmarkEnd w:id="849"/>
      <w:bookmarkEnd w:id="850"/>
      <w:bookmarkEnd w:id="851"/>
      <w:bookmarkEnd w:id="852"/>
      <w:bookmarkEnd w:id="853"/>
      <w:bookmarkEnd w:id="854"/>
      <w:bookmarkEnd w:id="855"/>
      <w:bookmarkEnd w:id="856"/>
      <w:r>
        <w:rPr>
          <w:rFonts w:hint="eastAsia" w:ascii="仿宋_GB2312" w:hAnsi="楷体" w:eastAsia="仿宋_GB2312"/>
          <w:color w:val="000000" w:themeColor="text1"/>
          <w:highlight w:val="none"/>
          <w14:textFill>
            <w14:solidFill>
              <w14:schemeClr w14:val="tx1"/>
            </w14:solidFill>
          </w14:textFill>
        </w:rPr>
        <w:t>警务</w:t>
      </w:r>
      <w:bookmarkEnd w:id="858"/>
      <w:bookmarkEnd w:id="859"/>
      <w:bookmarkEnd w:id="860"/>
      <w:bookmarkEnd w:id="861"/>
      <w:bookmarkEnd w:id="862"/>
      <w:bookmarkEnd w:id="863"/>
      <w:bookmarkEnd w:id="864"/>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color w:val="000000" w:themeColor="text1"/>
          <w:kern w:val="0"/>
          <w:sz w:val="32"/>
          <w:szCs w:val="32"/>
          <w:highlight w:val="none"/>
          <w14:textFill>
            <w14:solidFill>
              <w14:schemeClr w14:val="tx1"/>
            </w14:solidFill>
          </w14:textFill>
        </w:rPr>
        <w:t>推动监控设备智能化升级改造，推进视频监控网向纵深覆盖，推广铺开智感安防区建设，提高警务人员装备水平，</w:t>
      </w:r>
      <w:r>
        <w:rPr>
          <w:rFonts w:ascii="仿宋_GB2312" w:hAnsi="仿宋" w:eastAsia="仿宋_GB2312" w:cs="E-BX"/>
          <w:color w:val="000000" w:themeColor="text1"/>
          <w:kern w:val="0"/>
          <w:sz w:val="32"/>
          <w:szCs w:val="32"/>
          <w:highlight w:val="none"/>
          <w14:textFill>
            <w14:solidFill>
              <w14:schemeClr w14:val="tx1"/>
            </w14:solidFill>
          </w14:textFill>
        </w:rPr>
        <w:t>锻造现代警务的“尖刀”力量</w:t>
      </w:r>
      <w:r>
        <w:rPr>
          <w:rFonts w:hint="eastAsia" w:ascii="仿宋_GB2312" w:hAnsi="仿宋" w:eastAsia="仿宋_GB2312" w:cs="E-BX"/>
          <w:color w:val="000000" w:themeColor="text1"/>
          <w:kern w:val="0"/>
          <w:sz w:val="32"/>
          <w:szCs w:val="32"/>
          <w:highlight w:val="none"/>
          <w14:textFill>
            <w14:solidFill>
              <w14:schemeClr w14:val="tx1"/>
            </w14:solidFill>
          </w14:textFill>
        </w:rPr>
        <w:t>。加快城区及农村地区“雪亮工程”建设步伐，深化平安乡村建设。依托经开区数智大脑，推进公安数据内部互联互通，</w:t>
      </w:r>
      <w:r>
        <w:rPr>
          <w:rFonts w:ascii="仿宋_GB2312" w:hAnsi="仿宋" w:eastAsia="仿宋_GB2312" w:cs="E-BX"/>
          <w:color w:val="000000" w:themeColor="text1"/>
          <w:kern w:val="0"/>
          <w:sz w:val="32"/>
          <w:szCs w:val="32"/>
          <w:highlight w:val="none"/>
          <w14:textFill>
            <w14:solidFill>
              <w14:schemeClr w14:val="tx1"/>
            </w14:solidFill>
          </w14:textFill>
        </w:rPr>
        <w:t>实现对人、地、事、物、组织的数字化管理，构筑以数据为关键要素的治安防控模式，</w:t>
      </w:r>
      <w:r>
        <w:rPr>
          <w:rFonts w:hint="eastAsia" w:ascii="仿宋_GB2312" w:hAnsi="仿宋" w:eastAsia="仿宋_GB2312" w:cs="E-BX"/>
          <w:color w:val="000000" w:themeColor="text1"/>
          <w:kern w:val="0"/>
          <w:sz w:val="32"/>
          <w:szCs w:val="32"/>
          <w:highlight w:val="none"/>
          <w14:textFill>
            <w14:solidFill>
              <w14:schemeClr w14:val="tx1"/>
            </w14:solidFill>
          </w14:textFill>
        </w:rPr>
        <w:t>全面开展指挥处置、侦查打击、管控防控、交管监管和队伍管理等智慧新警务应用。</w:t>
      </w:r>
    </w:p>
    <w:p>
      <w:pPr>
        <w:pStyle w:val="4"/>
        <w:keepNext w:val="0"/>
        <w:keepLines w:val="0"/>
        <w:spacing w:before="0" w:after="0" w:line="560" w:lineRule="exact"/>
        <w:ind w:left="567"/>
        <w:rPr>
          <w:rFonts w:ascii="仿宋_GB2312" w:hAnsi="楷体" w:eastAsia="仿宋_GB2312"/>
          <w:color w:val="000000" w:themeColor="text1"/>
          <w:highlight w:val="none"/>
          <w14:textFill>
            <w14:solidFill>
              <w14:schemeClr w14:val="tx1"/>
            </w14:solidFill>
          </w14:textFill>
        </w:rPr>
      </w:pPr>
      <w:bookmarkStart w:id="865" w:name="_Toc59121426"/>
      <w:bookmarkStart w:id="866" w:name="_Toc57598766"/>
      <w:bookmarkStart w:id="867" w:name="_Toc58570020"/>
      <w:bookmarkStart w:id="868" w:name="_Toc57929391"/>
      <w:bookmarkStart w:id="869" w:name="_Toc56903839"/>
      <w:bookmarkStart w:id="870" w:name="_Toc58916918"/>
      <w:bookmarkStart w:id="871" w:name="_Toc64863279"/>
      <w:bookmarkStart w:id="872" w:name="_Toc72936899"/>
      <w:bookmarkStart w:id="873" w:name="_Toc63751471"/>
      <w:bookmarkStart w:id="874" w:name="_Toc64873776"/>
      <w:bookmarkStart w:id="875" w:name="_Toc57015501"/>
      <w:bookmarkStart w:id="876" w:name="_Toc64866141"/>
      <w:bookmarkStart w:id="877" w:name="_Toc75790564"/>
      <w:bookmarkStart w:id="878" w:name="_Toc63303061"/>
      <w:bookmarkStart w:id="879" w:name="_Toc68615412"/>
      <w:bookmarkStart w:id="880" w:name="_Toc58933753"/>
      <w:bookmarkStart w:id="881" w:name="_Toc57017224"/>
      <w:bookmarkStart w:id="882" w:name="_Toc67470192"/>
      <w:bookmarkStart w:id="883" w:name="_Toc57015394"/>
      <w:r>
        <w:rPr>
          <w:rFonts w:hint="eastAsia" w:ascii="仿宋_GB2312" w:hAnsi="楷体" w:eastAsia="仿宋_GB2312"/>
          <w:color w:val="000000" w:themeColor="text1"/>
          <w:highlight w:val="none"/>
          <w14:textFill>
            <w14:solidFill>
              <w14:schemeClr w14:val="tx1"/>
            </w14:solidFill>
          </w14:textFill>
        </w:rPr>
        <w:t>3</w:t>
      </w:r>
      <w:r>
        <w:rPr>
          <w:rFonts w:ascii="仿宋_GB2312" w:hAnsi="楷体" w:eastAsia="仿宋_GB2312"/>
          <w:color w:val="000000" w:themeColor="text1"/>
          <w:highlight w:val="none"/>
          <w14:textFill>
            <w14:solidFill>
              <w14:schemeClr w14:val="tx1"/>
            </w14:solidFill>
          </w14:textFill>
        </w:rPr>
        <w:t>.</w:t>
      </w:r>
      <w:r>
        <w:rPr>
          <w:rFonts w:hint="eastAsia" w:ascii="仿宋_GB2312" w:hAnsi="楷体" w:eastAsia="仿宋_GB2312"/>
          <w:color w:val="000000" w:themeColor="text1"/>
          <w:highlight w:val="none"/>
          <w14:textFill>
            <w14:solidFill>
              <w14:schemeClr w14:val="tx1"/>
            </w14:solidFill>
          </w14:textFill>
        </w:rPr>
        <w:t>智慧司法</w:t>
      </w:r>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color w:val="000000" w:themeColor="text1"/>
          <w:kern w:val="0"/>
          <w:sz w:val="32"/>
          <w:szCs w:val="32"/>
          <w:highlight w:val="none"/>
          <w14:textFill>
            <w14:solidFill>
              <w14:schemeClr w14:val="tx1"/>
            </w14:solidFill>
          </w14:textFill>
        </w:rPr>
        <w:t>加快经开区智慧法院建设，强化司法队伍现代化装备水平，推进审判能力现代化。筹建诉讼服务中心，并提高服务中心、司法所、法庭等场所的软硬件建设水平，为企业、群众提供优质的办事体验。加强公共法律服务热线平台、网络平台建设，拓展小程序、A</w:t>
      </w:r>
      <w:r>
        <w:rPr>
          <w:rFonts w:ascii="仿宋_GB2312" w:hAnsi="仿宋" w:eastAsia="仿宋_GB2312" w:cs="E-BX"/>
          <w:color w:val="000000" w:themeColor="text1"/>
          <w:kern w:val="0"/>
          <w:sz w:val="32"/>
          <w:szCs w:val="32"/>
          <w:highlight w:val="none"/>
          <w14:textFill>
            <w14:solidFill>
              <w14:schemeClr w14:val="tx1"/>
            </w14:solidFill>
          </w14:textFill>
        </w:rPr>
        <w:t>PP</w:t>
      </w:r>
      <w:r>
        <w:rPr>
          <w:rFonts w:hint="eastAsia" w:ascii="仿宋_GB2312" w:hAnsi="仿宋" w:eastAsia="仿宋_GB2312" w:cs="E-BX"/>
          <w:color w:val="000000" w:themeColor="text1"/>
          <w:kern w:val="0"/>
          <w:sz w:val="32"/>
          <w:szCs w:val="32"/>
          <w:highlight w:val="none"/>
          <w14:textFill>
            <w14:solidFill>
              <w14:schemeClr w14:val="tx1"/>
            </w14:solidFill>
          </w14:textFill>
        </w:rPr>
        <w:t>等的线上法律服务渠道建设，构建企业“精准画像”，为企业提供法律信息的精准投递。推进执法程序网上流转、执法信息自动采集，提升司法信息公开水平。</w:t>
      </w:r>
    </w:p>
    <w:p>
      <w:pPr>
        <w:pStyle w:val="4"/>
        <w:keepNext w:val="0"/>
        <w:keepLines w:val="0"/>
        <w:spacing w:before="0" w:after="0" w:line="560" w:lineRule="exact"/>
        <w:ind w:left="567"/>
        <w:rPr>
          <w:rFonts w:ascii="仿宋_GB2312" w:hAnsi="楷体" w:eastAsia="仿宋_GB2312"/>
          <w:color w:val="000000" w:themeColor="text1"/>
          <w:highlight w:val="none"/>
          <w14:textFill>
            <w14:solidFill>
              <w14:schemeClr w14:val="tx1"/>
            </w14:solidFill>
          </w14:textFill>
        </w:rPr>
      </w:pPr>
      <w:bookmarkStart w:id="884" w:name="_Toc56903840"/>
      <w:bookmarkStart w:id="885" w:name="_Toc57015395"/>
      <w:bookmarkStart w:id="886" w:name="_Toc57017225"/>
      <w:bookmarkStart w:id="887" w:name="_Toc58570021"/>
      <w:bookmarkStart w:id="888" w:name="_Toc72936900"/>
      <w:bookmarkStart w:id="889" w:name="_Toc67470193"/>
      <w:bookmarkStart w:id="890" w:name="_Toc57598767"/>
      <w:bookmarkStart w:id="891" w:name="_Toc57015502"/>
      <w:bookmarkStart w:id="892" w:name="_Toc63303062"/>
      <w:bookmarkStart w:id="893" w:name="_Toc58933754"/>
      <w:bookmarkStart w:id="894" w:name="_Toc68615413"/>
      <w:bookmarkStart w:id="895" w:name="_Toc64866142"/>
      <w:bookmarkStart w:id="896" w:name="_Toc57929392"/>
      <w:bookmarkStart w:id="897" w:name="_Toc64873777"/>
      <w:bookmarkStart w:id="898" w:name="_Toc59121427"/>
      <w:bookmarkStart w:id="899" w:name="_Toc75790565"/>
      <w:bookmarkStart w:id="900" w:name="_Toc64863280"/>
      <w:bookmarkStart w:id="901" w:name="_Toc58916919"/>
      <w:bookmarkStart w:id="902" w:name="_Toc63751472"/>
      <w:r>
        <w:rPr>
          <w:rFonts w:ascii="仿宋_GB2312" w:hAnsi="楷体" w:eastAsia="仿宋_GB2312"/>
          <w:color w:val="000000" w:themeColor="text1"/>
          <w:highlight w:val="none"/>
          <w14:textFill>
            <w14:solidFill>
              <w14:schemeClr w14:val="tx1"/>
            </w14:solidFill>
          </w14:textFill>
        </w:rPr>
        <w:t>4.</w:t>
      </w:r>
      <w:r>
        <w:rPr>
          <w:rFonts w:hint="eastAsia" w:ascii="仿宋_GB2312" w:hAnsi="楷体" w:eastAsia="仿宋_GB2312"/>
          <w:color w:val="000000" w:themeColor="text1"/>
          <w:highlight w:val="none"/>
          <w14:textFill>
            <w14:solidFill>
              <w14:schemeClr w14:val="tx1"/>
            </w14:solidFill>
          </w14:textFill>
        </w:rPr>
        <w:t>智慧应急</w:t>
      </w:r>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color w:val="000000" w:themeColor="text1"/>
          <w:kern w:val="0"/>
          <w:sz w:val="32"/>
          <w:szCs w:val="32"/>
          <w:highlight w:val="none"/>
          <w14:textFill>
            <w14:solidFill>
              <w14:schemeClr w14:val="tx1"/>
            </w14:solidFill>
          </w14:textFill>
        </w:rPr>
        <w:t>配合省市应急部门关于“智慧大应急”项目有关建设工作。积极配合湛江市建设集成统一的高清云视频会商系统、融合通信系统和视频联网系统，在本级应急指挥信息网部署视频终端，与省市应急管理局的云视频调度系统直通。将视频会商、视频监控、4G单兵布控球、集群通信、无人机等终端通过指挥信息网、电子政务外网、卫星网等接入系统，实现跨网、跨终端的融合指挥调度，实现基指、前指、行动现场和单兵之间的音视频指挥协同。进一步提高我区应急指挥调度、通信保障能力、危化品、交通、治安等重点行业监测预警水平，进一步建立健全经开区应急管理信息化体系。提升应急救援中心信息化建设水平。加强现代化消防队伍建设，整合各类应急救援资源，升级应急指挥平台，并与经开区数智大脑实现协同联动，构建</w:t>
      </w:r>
      <w:r>
        <w:rPr>
          <w:rFonts w:ascii="仿宋_GB2312" w:hAnsi="仿宋" w:eastAsia="仿宋_GB2312" w:cs="E-BX"/>
          <w:color w:val="000000" w:themeColor="text1"/>
          <w:kern w:val="0"/>
          <w:sz w:val="32"/>
          <w:szCs w:val="32"/>
          <w:highlight w:val="none"/>
          <w14:textFill>
            <w14:solidFill>
              <w14:schemeClr w14:val="tx1"/>
            </w14:solidFill>
          </w14:textFill>
        </w:rPr>
        <w:t>横向到边、纵向到底</w:t>
      </w:r>
      <w:r>
        <w:rPr>
          <w:rFonts w:hint="eastAsia" w:ascii="仿宋_GB2312" w:hAnsi="仿宋" w:eastAsia="仿宋_GB2312" w:cs="E-BX"/>
          <w:color w:val="000000" w:themeColor="text1"/>
          <w:kern w:val="0"/>
          <w:sz w:val="32"/>
          <w:szCs w:val="32"/>
          <w:highlight w:val="none"/>
          <w14:textFill>
            <w14:solidFill>
              <w14:schemeClr w14:val="tx1"/>
            </w14:solidFill>
          </w14:textFill>
        </w:rPr>
        <w:t>的</w:t>
      </w:r>
      <w:r>
        <w:rPr>
          <w:rFonts w:ascii="仿宋_GB2312" w:hAnsi="仿宋" w:eastAsia="仿宋_GB2312" w:cs="E-BX"/>
          <w:color w:val="000000" w:themeColor="text1"/>
          <w:kern w:val="0"/>
          <w:sz w:val="32"/>
          <w:szCs w:val="32"/>
          <w:highlight w:val="none"/>
          <w14:textFill>
            <w14:solidFill>
              <w14:schemeClr w14:val="tx1"/>
            </w14:solidFill>
          </w14:textFill>
        </w:rPr>
        <w:t>应急指挥</w:t>
      </w:r>
      <w:r>
        <w:rPr>
          <w:rFonts w:hint="eastAsia" w:ascii="仿宋_GB2312" w:hAnsi="仿宋" w:eastAsia="仿宋_GB2312" w:cs="E-BX"/>
          <w:color w:val="000000" w:themeColor="text1"/>
          <w:kern w:val="0"/>
          <w:sz w:val="32"/>
          <w:szCs w:val="32"/>
          <w:highlight w:val="none"/>
          <w14:textFill>
            <w14:solidFill>
              <w14:schemeClr w14:val="tx1"/>
            </w14:solidFill>
          </w14:textFill>
        </w:rPr>
        <w:t>体系。</w:t>
      </w:r>
    </w:p>
    <w:p>
      <w:pPr>
        <w:pStyle w:val="4"/>
        <w:keepNext w:val="0"/>
        <w:keepLines w:val="0"/>
        <w:spacing w:before="0" w:after="0" w:line="560" w:lineRule="exact"/>
        <w:ind w:left="567"/>
        <w:rPr>
          <w:rFonts w:ascii="仿宋_GB2312" w:hAnsi="楷体" w:eastAsia="仿宋_GB2312"/>
          <w:color w:val="000000" w:themeColor="text1"/>
          <w:highlight w:val="none"/>
          <w14:textFill>
            <w14:solidFill>
              <w14:schemeClr w14:val="tx1"/>
            </w14:solidFill>
          </w14:textFill>
        </w:rPr>
      </w:pPr>
      <w:bookmarkStart w:id="903" w:name="_Toc68615414"/>
      <w:bookmarkStart w:id="904" w:name="_Toc75790566"/>
      <w:bookmarkStart w:id="905" w:name="_Toc67470195"/>
      <w:bookmarkStart w:id="906" w:name="_Toc72936901"/>
      <w:bookmarkStart w:id="907" w:name="_Toc63751474"/>
      <w:bookmarkStart w:id="908" w:name="_Toc64873779"/>
      <w:bookmarkStart w:id="909" w:name="_Toc64866144"/>
      <w:bookmarkStart w:id="910" w:name="_Toc67470194"/>
      <w:bookmarkStart w:id="911" w:name="_Toc64863282"/>
      <w:r>
        <w:rPr>
          <w:rFonts w:ascii="仿宋_GB2312" w:hAnsi="楷体" w:eastAsia="仿宋_GB2312"/>
          <w:color w:val="000000" w:themeColor="text1"/>
          <w:highlight w:val="none"/>
          <w14:textFill>
            <w14:solidFill>
              <w14:schemeClr w14:val="tx1"/>
            </w14:solidFill>
          </w14:textFill>
        </w:rPr>
        <w:t>5.</w:t>
      </w:r>
      <w:r>
        <w:rPr>
          <w:rFonts w:hint="eastAsia" w:ascii="仿宋_GB2312" w:hAnsi="楷体" w:eastAsia="仿宋_GB2312"/>
          <w:color w:val="000000" w:themeColor="text1"/>
          <w:highlight w:val="none"/>
          <w14:textFill>
            <w14:solidFill>
              <w14:schemeClr w14:val="tx1"/>
            </w14:solidFill>
          </w14:textFill>
        </w:rPr>
        <w:t>智慧环保</w:t>
      </w:r>
      <w:bookmarkEnd w:id="903"/>
      <w:bookmarkEnd w:id="904"/>
      <w:bookmarkEnd w:id="905"/>
      <w:bookmarkEnd w:id="906"/>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color w:val="000000" w:themeColor="text1"/>
          <w:kern w:val="0"/>
          <w:sz w:val="32"/>
          <w:szCs w:val="32"/>
          <w:highlight w:val="none"/>
          <w14:textFill>
            <w14:solidFill>
              <w14:schemeClr w14:val="tx1"/>
            </w14:solidFill>
          </w14:textFill>
        </w:rPr>
        <w:t>与园区内的企业合作共建“生态环境保护协同管理系统”，建设智慧化环境监测体系</w:t>
      </w:r>
      <w:r>
        <w:rPr>
          <w:rFonts w:ascii="仿宋_GB2312" w:hAnsi="仿宋" w:eastAsia="仿宋_GB2312" w:cs="E-BX"/>
          <w:color w:val="000000" w:themeColor="text1"/>
          <w:kern w:val="0"/>
          <w:sz w:val="32"/>
          <w:szCs w:val="32"/>
          <w:highlight w:val="none"/>
          <w14:textFill>
            <w14:solidFill>
              <w14:schemeClr w14:val="tx1"/>
            </w14:solidFill>
          </w14:textFill>
        </w:rPr>
        <w:t>，</w:t>
      </w:r>
      <w:r>
        <w:rPr>
          <w:rFonts w:hint="eastAsia" w:ascii="仿宋_GB2312" w:hAnsi="仿宋" w:eastAsia="仿宋_GB2312" w:cs="E-BX"/>
          <w:color w:val="000000" w:themeColor="text1"/>
          <w:kern w:val="0"/>
          <w:sz w:val="32"/>
          <w:szCs w:val="32"/>
          <w:highlight w:val="none"/>
          <w14:textFill>
            <w14:solidFill>
              <w14:schemeClr w14:val="tx1"/>
            </w14:solidFill>
          </w14:textFill>
        </w:rPr>
        <w:t>纳入监管企业、在线监控企业、监测点位（在线监控企业、水体监测点、空气监测点、土壤监测点），</w:t>
      </w:r>
      <w:r>
        <w:rPr>
          <w:rFonts w:ascii="仿宋_GB2312" w:hAnsi="仿宋" w:eastAsia="仿宋_GB2312" w:cs="E-BX"/>
          <w:color w:val="000000" w:themeColor="text1"/>
          <w:kern w:val="0"/>
          <w:sz w:val="32"/>
          <w:szCs w:val="32"/>
          <w:highlight w:val="none"/>
          <w14:textFill>
            <w14:solidFill>
              <w14:schemeClr w14:val="tx1"/>
            </w14:solidFill>
          </w14:textFill>
        </w:rPr>
        <w:t>开展生态环境数据分析和</w:t>
      </w:r>
      <w:r>
        <w:rPr>
          <w:rFonts w:hint="eastAsia" w:ascii="仿宋_GB2312" w:hAnsi="仿宋" w:eastAsia="仿宋_GB2312" w:cs="E-BX"/>
          <w:color w:val="000000" w:themeColor="text1"/>
          <w:kern w:val="0"/>
          <w:sz w:val="32"/>
          <w:szCs w:val="32"/>
          <w:highlight w:val="none"/>
          <w14:textFill>
            <w14:solidFill>
              <w14:schemeClr w14:val="tx1"/>
            </w14:solidFill>
          </w14:textFill>
        </w:rPr>
        <w:t>运用</w:t>
      </w:r>
      <w:r>
        <w:rPr>
          <w:rFonts w:ascii="仿宋_GB2312" w:hAnsi="仿宋" w:eastAsia="仿宋_GB2312" w:cs="E-BX"/>
          <w:color w:val="000000" w:themeColor="text1"/>
          <w:kern w:val="0"/>
          <w:sz w:val="32"/>
          <w:szCs w:val="32"/>
          <w:highlight w:val="none"/>
          <w14:textFill>
            <w14:solidFill>
              <w14:schemeClr w14:val="tx1"/>
            </w14:solidFill>
          </w14:textFill>
        </w:rPr>
        <w:t>，形成对污染感知、预测预警、污染溯源、应急处置和评价考核等全闭环管理</w:t>
      </w:r>
      <w:r>
        <w:rPr>
          <w:rFonts w:hint="eastAsia" w:ascii="仿宋_GB2312" w:hAnsi="仿宋" w:eastAsia="仿宋_GB2312" w:cs="E-BX"/>
          <w:color w:val="000000" w:themeColor="text1"/>
          <w:kern w:val="0"/>
          <w:sz w:val="32"/>
          <w:szCs w:val="32"/>
          <w:highlight w:val="none"/>
          <w14:textFill>
            <w14:solidFill>
              <w14:schemeClr w14:val="tx1"/>
            </w14:solidFill>
          </w14:textFill>
        </w:rPr>
        <w:t>，重点加强水体污染监测和大气污染监测，构建“负一秒”风险防控体系，预防重大环境污染事故发生。</w:t>
      </w:r>
    </w:p>
    <w:p>
      <w:pPr>
        <w:pStyle w:val="4"/>
        <w:keepNext w:val="0"/>
        <w:keepLines w:val="0"/>
        <w:spacing w:before="0" w:after="0" w:line="560" w:lineRule="exact"/>
        <w:ind w:left="567"/>
        <w:rPr>
          <w:rFonts w:ascii="仿宋_GB2312" w:hAnsi="楷体" w:eastAsia="仿宋_GB2312"/>
          <w:color w:val="000000" w:themeColor="text1"/>
          <w:highlight w:val="none"/>
          <w14:textFill>
            <w14:solidFill>
              <w14:schemeClr w14:val="tx1"/>
            </w14:solidFill>
          </w14:textFill>
        </w:rPr>
      </w:pPr>
      <w:bookmarkStart w:id="912" w:name="_Toc68615415"/>
      <w:bookmarkStart w:id="913" w:name="_Toc75790567"/>
      <w:bookmarkStart w:id="914" w:name="_Toc72936902"/>
      <w:r>
        <w:rPr>
          <w:rFonts w:ascii="仿宋_GB2312" w:hAnsi="楷体" w:eastAsia="仿宋_GB2312"/>
          <w:color w:val="000000" w:themeColor="text1"/>
          <w:highlight w:val="none"/>
          <w14:textFill>
            <w14:solidFill>
              <w14:schemeClr w14:val="tx1"/>
            </w14:solidFill>
          </w14:textFill>
        </w:rPr>
        <w:t>6.</w:t>
      </w:r>
      <w:r>
        <w:rPr>
          <w:rFonts w:hint="eastAsia" w:ascii="仿宋_GB2312" w:hAnsi="楷体" w:eastAsia="仿宋_GB2312"/>
          <w:color w:val="000000" w:themeColor="text1"/>
          <w:highlight w:val="none"/>
          <w14:textFill>
            <w14:solidFill>
              <w14:schemeClr w14:val="tx1"/>
            </w14:solidFill>
          </w14:textFill>
        </w:rPr>
        <w:t>智慧交通</w:t>
      </w:r>
      <w:bookmarkEnd w:id="907"/>
      <w:bookmarkEnd w:id="908"/>
      <w:bookmarkEnd w:id="909"/>
      <w:bookmarkEnd w:id="910"/>
      <w:bookmarkEnd w:id="911"/>
      <w:bookmarkEnd w:id="912"/>
      <w:bookmarkEnd w:id="913"/>
      <w:bookmarkEnd w:id="914"/>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color w:val="000000" w:themeColor="text1"/>
          <w:kern w:val="0"/>
          <w:sz w:val="32"/>
          <w:szCs w:val="32"/>
          <w:highlight w:val="none"/>
          <w14:textFill>
            <w14:solidFill>
              <w14:schemeClr w14:val="tx1"/>
            </w14:solidFill>
          </w14:textFill>
        </w:rPr>
        <w:t>推动交通基础设施全要素、全周期数字化，布局重要节点的全方位交通感知网络，加强交通各要素的实时监控，为交通拥堵治理、综合运输保障、应急协同指挥、交通决策支持等各项业务的展开提供有力支撑，实现交通行业智慧化、精细化、协同化的管理。推进在东雷高速、东海岛铁路、东海岛至南三岛海底隧道等智能化交通基础设施的建设。充分利用湛江市智能交通大数据，基于经开区数智大脑，对全区综合交通运输运行监测预警、舆情监测、安全风险分析研判和调度指挥，提升交通安全治理能力，坚决遏制重特大安全事故发生。</w:t>
      </w:r>
    </w:p>
    <w:p>
      <w:pPr>
        <w:pStyle w:val="4"/>
        <w:keepNext w:val="0"/>
        <w:keepLines w:val="0"/>
        <w:spacing w:before="0" w:after="0" w:line="560" w:lineRule="exact"/>
        <w:ind w:left="567"/>
        <w:rPr>
          <w:rFonts w:ascii="仿宋_GB2312" w:hAnsi="楷体" w:eastAsia="仿宋_GB2312"/>
          <w:color w:val="000000" w:themeColor="text1"/>
          <w:highlight w:val="none"/>
          <w14:textFill>
            <w14:solidFill>
              <w14:schemeClr w14:val="tx1"/>
            </w14:solidFill>
          </w14:textFill>
        </w:rPr>
      </w:pPr>
      <w:bookmarkStart w:id="915" w:name="_Toc75790568"/>
      <w:bookmarkStart w:id="916" w:name="_Toc64863283"/>
      <w:bookmarkStart w:id="917" w:name="_Toc68615416"/>
      <w:bookmarkStart w:id="918" w:name="_Toc64873780"/>
      <w:bookmarkStart w:id="919" w:name="_Toc64866145"/>
      <w:bookmarkStart w:id="920" w:name="_Toc72936903"/>
      <w:bookmarkStart w:id="921" w:name="_Toc67470196"/>
      <w:r>
        <w:rPr>
          <w:rFonts w:ascii="仿宋_GB2312" w:hAnsi="楷体" w:eastAsia="仿宋_GB2312"/>
          <w:color w:val="000000" w:themeColor="text1"/>
          <w:highlight w:val="none"/>
          <w14:textFill>
            <w14:solidFill>
              <w14:schemeClr w14:val="tx1"/>
            </w14:solidFill>
          </w14:textFill>
        </w:rPr>
        <w:t>7.</w:t>
      </w:r>
      <w:r>
        <w:rPr>
          <w:rFonts w:hint="eastAsia" w:ascii="仿宋_GB2312" w:hAnsi="楷体" w:eastAsia="仿宋_GB2312"/>
          <w:color w:val="000000" w:themeColor="text1"/>
          <w:highlight w:val="none"/>
          <w14:textFill>
            <w14:solidFill>
              <w14:schemeClr w14:val="tx1"/>
            </w14:solidFill>
          </w14:textFill>
        </w:rPr>
        <w:t>智慧市场监管</w:t>
      </w:r>
      <w:bookmarkEnd w:id="915"/>
      <w:bookmarkEnd w:id="916"/>
      <w:bookmarkEnd w:id="917"/>
      <w:bookmarkEnd w:id="918"/>
      <w:bookmarkEnd w:id="919"/>
      <w:bookmarkEnd w:id="920"/>
      <w:bookmarkEnd w:id="921"/>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bookmarkStart w:id="922" w:name="_Hlk67501511"/>
      <w:r>
        <w:rPr>
          <w:rFonts w:hint="eastAsia" w:ascii="仿宋_GB2312" w:hAnsi="仿宋" w:eastAsia="仿宋_GB2312" w:cs="E-BX"/>
          <w:color w:val="000000" w:themeColor="text1"/>
          <w:kern w:val="0"/>
          <w:sz w:val="32"/>
          <w:szCs w:val="32"/>
          <w:highlight w:val="none"/>
          <w14:textFill>
            <w14:solidFill>
              <w14:schemeClr w14:val="tx1"/>
            </w14:solidFill>
          </w14:textFill>
        </w:rPr>
        <w:t>推进“互联网+食品”监管，基于市级建设的食用农产品溯源系统应用，持续推广应用。持续推进“明厨亮灶”工程建设，强化食品小作坊监管。</w:t>
      </w:r>
      <w:bookmarkEnd w:id="922"/>
      <w:r>
        <w:rPr>
          <w:rFonts w:hint="eastAsia" w:ascii="仿宋_GB2312" w:hAnsi="仿宋" w:eastAsia="仿宋_GB2312" w:cs="E-BX"/>
          <w:color w:val="000000" w:themeColor="text1"/>
          <w:kern w:val="0"/>
          <w:sz w:val="32"/>
          <w:szCs w:val="32"/>
          <w:highlight w:val="none"/>
          <w14:textFill>
            <w14:solidFill>
              <w14:schemeClr w14:val="tx1"/>
            </w14:solidFill>
          </w14:textFill>
        </w:rPr>
        <w:t>汇聚全区各部门市场监管数据信息、强化跨领域、跨部门的监管数据互通共享，深化“双随机、一公开”、“互联网+监管”等业务工作，加强信用信息共享共用和联合奖惩，推动全区跨区域、跨部门、跨层级综合监管业务统一运作、高效协同，形成全区统一的高效透明的市场监管大格局。</w:t>
      </w:r>
    </w:p>
    <w:p>
      <w:pPr>
        <w:pStyle w:val="4"/>
        <w:keepNext w:val="0"/>
        <w:keepLines w:val="0"/>
        <w:spacing w:before="0" w:after="0" w:line="560" w:lineRule="exact"/>
        <w:ind w:left="567"/>
        <w:rPr>
          <w:rFonts w:ascii="仿宋_GB2312" w:hAnsi="楷体" w:eastAsia="仿宋_GB2312"/>
          <w:color w:val="000000" w:themeColor="text1"/>
          <w:highlight w:val="none"/>
          <w14:textFill>
            <w14:solidFill>
              <w14:schemeClr w14:val="tx1"/>
            </w14:solidFill>
          </w14:textFill>
        </w:rPr>
      </w:pPr>
      <w:bookmarkStart w:id="923" w:name="_Toc67470197"/>
      <w:bookmarkStart w:id="924" w:name="_Toc68615417"/>
      <w:bookmarkStart w:id="925" w:name="_Toc72936904"/>
      <w:bookmarkStart w:id="926" w:name="_Toc75790569"/>
      <w:r>
        <w:rPr>
          <w:rFonts w:ascii="仿宋_GB2312" w:hAnsi="楷体" w:eastAsia="仿宋_GB2312"/>
          <w:color w:val="000000" w:themeColor="text1"/>
          <w:highlight w:val="none"/>
          <w14:textFill>
            <w14:solidFill>
              <w14:schemeClr w14:val="tx1"/>
            </w14:solidFill>
          </w14:textFill>
        </w:rPr>
        <w:t>8.</w:t>
      </w:r>
      <w:r>
        <w:rPr>
          <w:rFonts w:hint="eastAsia" w:ascii="仿宋_GB2312" w:hAnsi="楷体" w:eastAsia="仿宋_GB2312"/>
          <w:color w:val="000000" w:themeColor="text1"/>
          <w:highlight w:val="none"/>
          <w14:textFill>
            <w14:solidFill>
              <w14:schemeClr w14:val="tx1"/>
            </w14:solidFill>
          </w14:textFill>
        </w:rPr>
        <w:t>智慧党建</w:t>
      </w:r>
      <w:bookmarkEnd w:id="923"/>
      <w:bookmarkEnd w:id="924"/>
      <w:bookmarkEnd w:id="925"/>
      <w:bookmarkEnd w:id="926"/>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color w:val="000000" w:themeColor="text1"/>
          <w:kern w:val="0"/>
          <w:sz w:val="32"/>
          <w:szCs w:val="32"/>
          <w:highlight w:val="none"/>
          <w14:textFill>
            <w14:solidFill>
              <w14:schemeClr w14:val="tx1"/>
            </w14:solidFill>
          </w14:textFill>
        </w:rPr>
        <w:t>按照新时代党的建设总要求，加强党建工作理念思路和方法路径的创新，完善经开区智慧党建工作平台，规范党务流程，开发基层党组织管理模块，实现在线组织关系转接、在线党员发展、在线党费管理、在线党务公开、流动党员管理、积分管理等功能，满足对党员信息的查询、管理和维护等，汇聚党建学习资料，提供党员交流、学习平台。建设智慧党建大数据分析系统，整合政府有关部门、社区等党员活动数据，结合平台中作风、思想、能力等数据建构模型，实现动态管理，提高党员干部培养与任用的精准度。</w:t>
      </w:r>
    </w:p>
    <w:p>
      <w:pPr>
        <w:pStyle w:val="2"/>
        <w:keepNext/>
        <w:keepLines/>
        <w:widowControl w:val="0"/>
        <w:spacing w:before="0" w:beforeAutospacing="0" w:after="0" w:afterAutospacing="0" w:line="579" w:lineRule="exact"/>
        <w:ind w:firstLine="640" w:firstLineChars="200"/>
        <w:jc w:val="both"/>
        <w:rPr>
          <w:rFonts w:ascii="Times New Roman" w:hAnsi="黑体" w:eastAsia="黑体" w:cs="Times New Roman"/>
          <w:b w:val="0"/>
          <w:color w:val="000000" w:themeColor="text1"/>
          <w:kern w:val="44"/>
          <w:sz w:val="32"/>
          <w:szCs w:val="32"/>
          <w:highlight w:val="none"/>
          <w:lang w:val="zh-CN"/>
          <w14:textFill>
            <w14:solidFill>
              <w14:schemeClr w14:val="tx1"/>
            </w14:solidFill>
          </w14:textFill>
        </w:rPr>
      </w:pPr>
      <w:bookmarkStart w:id="927" w:name="_Toc75790570"/>
      <w:r>
        <w:rPr>
          <w:rFonts w:hint="eastAsia" w:ascii="Times New Roman" w:hAnsi="黑体" w:eastAsia="黑体" w:cs="Times New Roman"/>
          <w:b w:val="0"/>
          <w:color w:val="000000" w:themeColor="text1"/>
          <w:kern w:val="44"/>
          <w:sz w:val="32"/>
          <w:szCs w:val="32"/>
          <w:highlight w:val="none"/>
          <w:lang w:val="zh-CN"/>
          <w14:textFill>
            <w14:solidFill>
              <w14:schemeClr w14:val="tx1"/>
            </w14:solidFill>
          </w14:textFill>
        </w:rPr>
        <w:t>七、构筑可信可控的支撑体系</w:t>
      </w:r>
      <w:bookmarkEnd w:id="927"/>
    </w:p>
    <w:p>
      <w:pPr>
        <w:widowControl/>
        <w:spacing w:line="560" w:lineRule="exact"/>
        <w:ind w:firstLine="640" w:firstLineChars="200"/>
        <w:jc w:val="left"/>
        <w:outlineLvl w:val="1"/>
        <w:rPr>
          <w:rFonts w:ascii="楷体_GB2312" w:hAnsi="黑体" w:eastAsia="楷体_GB2312" w:cs="仿宋_GB2312"/>
          <w:color w:val="000000" w:themeColor="text1"/>
          <w:kern w:val="0"/>
          <w:sz w:val="32"/>
          <w:szCs w:val="32"/>
          <w:highlight w:val="none"/>
          <w14:textFill>
            <w14:solidFill>
              <w14:schemeClr w14:val="tx1"/>
            </w14:solidFill>
          </w14:textFill>
        </w:rPr>
      </w:pPr>
      <w:bookmarkStart w:id="928" w:name="_Toc75790571"/>
      <w:r>
        <w:rPr>
          <w:rFonts w:hint="eastAsia" w:ascii="楷体_GB2312" w:hAnsi="黑体" w:eastAsia="楷体_GB2312" w:cs="仿宋_GB2312"/>
          <w:color w:val="000000" w:themeColor="text1"/>
          <w:kern w:val="0"/>
          <w:sz w:val="32"/>
          <w:szCs w:val="32"/>
          <w:highlight w:val="none"/>
          <w14:textFill>
            <w14:solidFill>
              <w14:schemeClr w14:val="tx1"/>
            </w14:solidFill>
          </w14:textFill>
        </w:rPr>
        <w:t>（一）安全体系</w:t>
      </w:r>
      <w:bookmarkEnd w:id="928"/>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color w:val="000000" w:themeColor="text1"/>
          <w:kern w:val="0"/>
          <w:sz w:val="32"/>
          <w:szCs w:val="32"/>
          <w:highlight w:val="none"/>
          <w14:textFill>
            <w14:solidFill>
              <w14:schemeClr w14:val="tx1"/>
            </w14:solidFill>
          </w14:textFill>
        </w:rPr>
        <w:t>全面提升“数字政府”网络安全防护能力，强化对政务外网、政务云平台、政务大数据及重要政务信息系统等关键信息基础设施的安全防护，落实网络安全等级保护要求，构建安全管理体系、安全技术体系、安全运营体系、安全监管体系等四大核心体系。依照国家密码管理有关法律法规和标准规范，利用好市级数字政府密码基础设施建设，健全数字政府密码应用安全性评估机制，推进应用系统密码改造工作。</w:t>
      </w:r>
    </w:p>
    <w:p>
      <w:pPr>
        <w:widowControl/>
        <w:spacing w:line="560" w:lineRule="exact"/>
        <w:ind w:firstLine="640" w:firstLineChars="200"/>
        <w:jc w:val="left"/>
        <w:outlineLvl w:val="1"/>
        <w:rPr>
          <w:rFonts w:ascii="楷体_GB2312" w:hAnsi="黑体" w:eastAsia="楷体_GB2312" w:cs="仿宋_GB2312"/>
          <w:color w:val="000000" w:themeColor="text1"/>
          <w:kern w:val="0"/>
          <w:sz w:val="32"/>
          <w:szCs w:val="32"/>
          <w:highlight w:val="none"/>
          <w14:textFill>
            <w14:solidFill>
              <w14:schemeClr w14:val="tx1"/>
            </w14:solidFill>
          </w14:textFill>
        </w:rPr>
      </w:pPr>
      <w:bookmarkStart w:id="929" w:name="_Toc75790572"/>
      <w:r>
        <w:rPr>
          <w:rFonts w:hint="eastAsia" w:ascii="楷体_GB2312" w:hAnsi="黑体" w:eastAsia="楷体_GB2312" w:cs="仿宋_GB2312"/>
          <w:color w:val="000000" w:themeColor="text1"/>
          <w:kern w:val="0"/>
          <w:sz w:val="32"/>
          <w:szCs w:val="32"/>
          <w:highlight w:val="none"/>
          <w14:textFill>
            <w14:solidFill>
              <w14:schemeClr w14:val="tx1"/>
            </w14:solidFill>
          </w14:textFill>
        </w:rPr>
        <w:t>（二）标准体系</w:t>
      </w:r>
      <w:bookmarkEnd w:id="929"/>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color w:val="000000" w:themeColor="text1"/>
          <w:kern w:val="0"/>
          <w:sz w:val="32"/>
          <w:szCs w:val="32"/>
          <w:highlight w:val="none"/>
          <w14:textFill>
            <w14:solidFill>
              <w14:schemeClr w14:val="tx1"/>
            </w14:solidFill>
          </w14:textFill>
        </w:rPr>
        <w:t>根据省、市数字政府标准体系总体框架，结合经开区“数字政府”改革建设实际，制定经开区总体标准、基础设施标准、业务标准、数据标准、应用标准、安全标准和管理标准，建立完善经开区“数字政府”改革建设标准体系，为经开区数据共享、应用提升、服务优化奠定基础，确保数字政府改革建设各项工作有序推进。</w:t>
      </w:r>
    </w:p>
    <w:p>
      <w:pPr>
        <w:widowControl/>
        <w:spacing w:line="560" w:lineRule="exact"/>
        <w:ind w:firstLine="640" w:firstLineChars="200"/>
        <w:jc w:val="left"/>
        <w:outlineLvl w:val="1"/>
        <w:rPr>
          <w:rFonts w:ascii="楷体_GB2312" w:hAnsi="黑体" w:eastAsia="楷体_GB2312" w:cs="仿宋_GB2312"/>
          <w:color w:val="000000" w:themeColor="text1"/>
          <w:kern w:val="0"/>
          <w:sz w:val="32"/>
          <w:szCs w:val="32"/>
          <w:highlight w:val="none"/>
          <w14:textFill>
            <w14:solidFill>
              <w14:schemeClr w14:val="tx1"/>
            </w14:solidFill>
          </w14:textFill>
        </w:rPr>
      </w:pPr>
      <w:bookmarkStart w:id="930" w:name="_Toc75790573"/>
      <w:r>
        <w:rPr>
          <w:rFonts w:hint="eastAsia" w:ascii="楷体_GB2312" w:hAnsi="黑体" w:eastAsia="楷体_GB2312" w:cs="仿宋_GB2312"/>
          <w:color w:val="000000" w:themeColor="text1"/>
          <w:kern w:val="0"/>
          <w:sz w:val="32"/>
          <w:szCs w:val="32"/>
          <w:highlight w:val="none"/>
          <w14:textFill>
            <w14:solidFill>
              <w14:schemeClr w14:val="tx1"/>
            </w14:solidFill>
          </w14:textFill>
        </w:rPr>
        <w:t>（三）运营体系</w:t>
      </w:r>
      <w:bookmarkEnd w:id="930"/>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color w:val="000000" w:themeColor="text1"/>
          <w:kern w:val="0"/>
          <w:sz w:val="32"/>
          <w:szCs w:val="32"/>
          <w:highlight w:val="none"/>
          <w14:textFill>
            <w14:solidFill>
              <w14:schemeClr w14:val="tx1"/>
            </w14:solidFill>
          </w14:textFill>
        </w:rPr>
        <w:t>以“管运分离”的数字政府建设运行管理体系为基础，全面建立完善以需求引领运营、以管理促进运营、以专家指导运营的特色运营体系。进一步明晰职责，落实各方主体责任，强化协同联动，打造一支技术过硬、服务到位、业务规范、安全可靠的运营队伍，为全区“数字政府”改革建设提供支撑。</w:t>
      </w:r>
    </w:p>
    <w:p>
      <w:pPr>
        <w:pStyle w:val="2"/>
        <w:keepNext/>
        <w:keepLines/>
        <w:widowControl w:val="0"/>
        <w:spacing w:before="0" w:beforeAutospacing="0" w:after="0" w:afterAutospacing="0" w:line="579" w:lineRule="exact"/>
        <w:ind w:firstLine="640" w:firstLineChars="200"/>
        <w:jc w:val="both"/>
        <w:rPr>
          <w:rFonts w:ascii="Times New Roman" w:hAnsi="黑体" w:eastAsia="黑体" w:cs="Times New Roman"/>
          <w:b w:val="0"/>
          <w:color w:val="000000" w:themeColor="text1"/>
          <w:kern w:val="44"/>
          <w:sz w:val="32"/>
          <w:szCs w:val="32"/>
          <w:highlight w:val="none"/>
          <w:lang w:val="zh-CN"/>
          <w14:textFill>
            <w14:solidFill>
              <w14:schemeClr w14:val="tx1"/>
            </w14:solidFill>
          </w14:textFill>
        </w:rPr>
      </w:pPr>
      <w:bookmarkStart w:id="931" w:name="_Toc21777182"/>
      <w:bookmarkEnd w:id="931"/>
      <w:bookmarkStart w:id="932" w:name="_Toc75790574"/>
      <w:r>
        <w:rPr>
          <w:rFonts w:hint="eastAsia" w:ascii="Times New Roman" w:hAnsi="黑体" w:eastAsia="黑体" w:cs="Times New Roman"/>
          <w:b w:val="0"/>
          <w:color w:val="000000" w:themeColor="text1"/>
          <w:kern w:val="44"/>
          <w:sz w:val="32"/>
          <w:szCs w:val="32"/>
          <w:highlight w:val="none"/>
          <w:lang w:val="zh-CN"/>
          <w14:textFill>
            <w14:solidFill>
              <w14:schemeClr w14:val="tx1"/>
            </w14:solidFill>
          </w14:textFill>
        </w:rPr>
        <w:t>八、规划保障措施</w:t>
      </w:r>
      <w:bookmarkEnd w:id="932"/>
    </w:p>
    <w:p>
      <w:pPr>
        <w:widowControl/>
        <w:spacing w:line="560" w:lineRule="exact"/>
        <w:ind w:firstLine="640" w:firstLineChars="200"/>
        <w:jc w:val="left"/>
        <w:outlineLvl w:val="1"/>
        <w:rPr>
          <w:rFonts w:ascii="楷体_GB2312" w:hAnsi="黑体" w:eastAsia="楷体_GB2312" w:cs="仿宋_GB2312"/>
          <w:color w:val="000000" w:themeColor="text1"/>
          <w:kern w:val="0"/>
          <w:sz w:val="32"/>
          <w:szCs w:val="32"/>
          <w:highlight w:val="none"/>
          <w14:textFill>
            <w14:solidFill>
              <w14:schemeClr w14:val="tx1"/>
            </w14:solidFill>
          </w14:textFill>
        </w:rPr>
      </w:pPr>
      <w:bookmarkStart w:id="933" w:name="_Toc75790575"/>
      <w:r>
        <w:rPr>
          <w:rFonts w:hint="eastAsia" w:ascii="楷体_GB2312" w:hAnsi="黑体" w:eastAsia="楷体_GB2312" w:cs="仿宋_GB2312"/>
          <w:color w:val="000000" w:themeColor="text1"/>
          <w:kern w:val="0"/>
          <w:sz w:val="32"/>
          <w:szCs w:val="32"/>
          <w:highlight w:val="none"/>
          <w14:textFill>
            <w14:solidFill>
              <w14:schemeClr w14:val="tx1"/>
            </w14:solidFill>
          </w14:textFill>
        </w:rPr>
        <w:t>（一）切实加强组织领导</w:t>
      </w:r>
      <w:bookmarkEnd w:id="933"/>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color w:val="000000" w:themeColor="text1"/>
          <w:kern w:val="0"/>
          <w:sz w:val="32"/>
          <w:szCs w:val="32"/>
          <w:highlight w:val="none"/>
          <w14:textFill>
            <w14:solidFill>
              <w14:schemeClr w14:val="tx1"/>
            </w14:solidFill>
          </w14:textFill>
        </w:rPr>
        <w:t>切实发挥好区“数字政府”改革建设工作领导小组牵头协调作用，建立主要领导负责制，统筹规划、统一部署、协调推进各部门“数字政府”改革建设工作。建立完善与“数字政府”改革建设相适应的配套制度和业务流程，建立重要领域和重点工作专项工作组，建立上下衔接、统筹有力的综合协调机制，强化沟通协调，落实各项任务。成立“数字政府”专家委员会，建立专家咨询与行政管理相结合的决策机制，为经开区“数字政府”改革建设的顶层设计和总体规划，以及技术层面的设计、论证、指导和评估等方面提供咨询和建议。</w:t>
      </w:r>
    </w:p>
    <w:p>
      <w:pPr>
        <w:widowControl/>
        <w:spacing w:line="560" w:lineRule="exact"/>
        <w:ind w:firstLine="640" w:firstLineChars="200"/>
        <w:jc w:val="left"/>
        <w:outlineLvl w:val="1"/>
        <w:rPr>
          <w:rFonts w:ascii="楷体_GB2312" w:hAnsi="黑体" w:eastAsia="楷体_GB2312" w:cs="仿宋_GB2312"/>
          <w:color w:val="000000" w:themeColor="text1"/>
          <w:kern w:val="0"/>
          <w:sz w:val="32"/>
          <w:szCs w:val="32"/>
          <w:highlight w:val="none"/>
          <w14:textFill>
            <w14:solidFill>
              <w14:schemeClr w14:val="tx1"/>
            </w14:solidFill>
          </w14:textFill>
        </w:rPr>
      </w:pPr>
      <w:bookmarkStart w:id="934" w:name="_Toc75790576"/>
      <w:r>
        <w:rPr>
          <w:rFonts w:hint="eastAsia" w:ascii="楷体_GB2312" w:hAnsi="黑体" w:eastAsia="楷体_GB2312" w:cs="仿宋_GB2312"/>
          <w:color w:val="000000" w:themeColor="text1"/>
          <w:kern w:val="0"/>
          <w:sz w:val="32"/>
          <w:szCs w:val="32"/>
          <w:highlight w:val="none"/>
          <w14:textFill>
            <w14:solidFill>
              <w14:schemeClr w14:val="tx1"/>
            </w14:solidFill>
          </w14:textFill>
        </w:rPr>
        <w:t>（二）完善统筹协调机制</w:t>
      </w:r>
      <w:bookmarkEnd w:id="934"/>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color w:val="000000" w:themeColor="text1"/>
          <w:kern w:val="0"/>
          <w:sz w:val="32"/>
          <w:szCs w:val="32"/>
          <w:highlight w:val="none"/>
          <w14:textFill>
            <w14:solidFill>
              <w14:schemeClr w14:val="tx1"/>
            </w14:solidFill>
          </w14:textFill>
        </w:rPr>
        <w:t>在区“数字政府”改革建设工作领导小组统筹领导下，积极推动构建各部门协同联动的综合协调机制，建立统一领导、上下贯通、协同推进、执行有力的全区“一盘棋”工作机制。完善相关配套政策，以新体制、新架构、新服务、新发展促进整体政府构建。</w:t>
      </w:r>
      <w:r>
        <w:rPr>
          <w:rFonts w:ascii="仿宋_GB2312" w:hAnsi="仿宋" w:eastAsia="仿宋_GB2312" w:cs="E-BX"/>
          <w:color w:val="000000" w:themeColor="text1"/>
          <w:kern w:val="0"/>
          <w:sz w:val="32"/>
          <w:szCs w:val="32"/>
          <w:highlight w:val="none"/>
          <w14:textFill>
            <w14:solidFill>
              <w14:schemeClr w14:val="tx1"/>
            </w14:solidFill>
          </w14:textFill>
        </w:rPr>
        <w:t>制定数字政府建设运营全过程质量管理要求和绩效评估指标体系，建立数字政府建设督查评估机制，实现督查评估工作制度化、规范化、常态化。</w:t>
      </w:r>
      <w:r>
        <w:rPr>
          <w:rFonts w:hint="eastAsia" w:ascii="仿宋_GB2312" w:hAnsi="仿宋" w:eastAsia="仿宋_GB2312" w:cs="E-BX"/>
          <w:color w:val="000000" w:themeColor="text1"/>
          <w:kern w:val="0"/>
          <w:sz w:val="32"/>
          <w:szCs w:val="32"/>
          <w:highlight w:val="none"/>
          <w14:textFill>
            <w14:solidFill>
              <w14:schemeClr w14:val="tx1"/>
            </w14:solidFill>
          </w14:textFill>
        </w:rPr>
        <w:t>严格按照项目建设管理流程做好咨询、设计、交付等环节的工作，提升“数字政府”建设质量和应用效</w:t>
      </w:r>
      <w:r>
        <w:rPr>
          <w:rFonts w:ascii="仿宋_GB2312" w:hAnsi="仿宋" w:eastAsia="仿宋_GB2312" w:cs="E-BX"/>
          <w:color w:val="000000" w:themeColor="text1"/>
          <w:kern w:val="0"/>
          <w:sz w:val="32"/>
          <w:szCs w:val="32"/>
          <w:highlight w:val="none"/>
          <w14:textFill>
            <w14:solidFill>
              <w14:schemeClr w14:val="tx1"/>
            </w14:solidFill>
          </w14:textFill>
        </w:rPr>
        <w:t>能</w:t>
      </w:r>
      <w:r>
        <w:rPr>
          <w:rFonts w:hint="eastAsia" w:ascii="仿宋_GB2312" w:hAnsi="仿宋" w:eastAsia="仿宋_GB2312" w:cs="E-BX"/>
          <w:color w:val="000000" w:themeColor="text1"/>
          <w:kern w:val="0"/>
          <w:sz w:val="32"/>
          <w:szCs w:val="32"/>
          <w:highlight w:val="none"/>
          <w14:textFill>
            <w14:solidFill>
              <w14:schemeClr w14:val="tx1"/>
            </w14:solidFill>
          </w14:textFill>
        </w:rPr>
        <w:t>。</w:t>
      </w:r>
    </w:p>
    <w:p>
      <w:pPr>
        <w:widowControl/>
        <w:spacing w:line="560" w:lineRule="exact"/>
        <w:ind w:firstLine="640" w:firstLineChars="200"/>
        <w:jc w:val="left"/>
        <w:outlineLvl w:val="1"/>
        <w:rPr>
          <w:rFonts w:ascii="楷体_GB2312" w:hAnsi="黑体" w:eastAsia="楷体_GB2312" w:cs="仿宋_GB2312"/>
          <w:color w:val="000000" w:themeColor="text1"/>
          <w:kern w:val="0"/>
          <w:sz w:val="32"/>
          <w:szCs w:val="32"/>
          <w:highlight w:val="none"/>
          <w14:textFill>
            <w14:solidFill>
              <w14:schemeClr w14:val="tx1"/>
            </w14:solidFill>
          </w14:textFill>
        </w:rPr>
      </w:pPr>
      <w:bookmarkStart w:id="935" w:name="_Toc75790577"/>
      <w:r>
        <w:rPr>
          <w:rFonts w:hint="eastAsia" w:ascii="楷体_GB2312" w:hAnsi="黑体" w:eastAsia="楷体_GB2312" w:cs="仿宋_GB2312"/>
          <w:color w:val="000000" w:themeColor="text1"/>
          <w:kern w:val="0"/>
          <w:sz w:val="32"/>
          <w:szCs w:val="32"/>
          <w:highlight w:val="none"/>
          <w14:textFill>
            <w14:solidFill>
              <w14:schemeClr w14:val="tx1"/>
            </w14:solidFill>
          </w14:textFill>
        </w:rPr>
        <w:t>（三）拓宽投资融资渠道</w:t>
      </w:r>
      <w:bookmarkEnd w:id="935"/>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 w:eastAsia="仿宋_GB2312" w:cs="E-BX"/>
          <w:color w:val="000000" w:themeColor="text1"/>
          <w:kern w:val="0"/>
          <w:sz w:val="32"/>
          <w:szCs w:val="32"/>
          <w:highlight w:val="none"/>
          <w14:textFill>
            <w14:solidFill>
              <w14:schemeClr w14:val="tx1"/>
            </w14:solidFill>
          </w14:textFill>
        </w:rPr>
        <w:t>统筹区级政务信息化建设相关资金，将“数字政府”建设工作纳入财政专项预算，加大数字政府建设资金支持力度。切实加强对数字政府建设工作组织领导，按照省、市要求细化完善工作方案和资金预算方案，落实人员责任，做好资金保障，抓好各项任务落实。进一步规范数字政府项目的预算编制和资金使用管理，完善政府购买服务机制和流程，优化支撑政务信息化项目快速迭代建设的资金审核程序和机制。完善多元投资机制，积极探索建立政府投资为引导、企业投资为主体、金融机构积极支持、民间资本广泛参与的“数字政府”建设投融资模式，拓宽投融资渠道。</w:t>
      </w:r>
    </w:p>
    <w:p>
      <w:pPr>
        <w:widowControl/>
        <w:spacing w:line="560" w:lineRule="exact"/>
        <w:ind w:firstLine="640" w:firstLineChars="200"/>
        <w:jc w:val="left"/>
        <w:outlineLvl w:val="1"/>
        <w:rPr>
          <w:rFonts w:ascii="楷体_GB2312" w:hAnsi="黑体" w:eastAsia="楷体_GB2312" w:cs="仿宋_GB2312"/>
          <w:color w:val="000000" w:themeColor="text1"/>
          <w:kern w:val="0"/>
          <w:sz w:val="32"/>
          <w:szCs w:val="32"/>
          <w:highlight w:val="none"/>
          <w14:textFill>
            <w14:solidFill>
              <w14:schemeClr w14:val="tx1"/>
            </w14:solidFill>
          </w14:textFill>
        </w:rPr>
      </w:pPr>
      <w:bookmarkStart w:id="936" w:name="_Toc75790578"/>
      <w:r>
        <w:rPr>
          <w:rFonts w:hint="eastAsia" w:ascii="楷体_GB2312" w:hAnsi="黑体" w:eastAsia="楷体_GB2312" w:cs="仿宋_GB2312"/>
          <w:color w:val="000000" w:themeColor="text1"/>
          <w:kern w:val="0"/>
          <w:sz w:val="32"/>
          <w:szCs w:val="32"/>
          <w:highlight w:val="none"/>
          <w14:textFill>
            <w14:solidFill>
              <w14:schemeClr w14:val="tx1"/>
            </w14:solidFill>
          </w14:textFill>
        </w:rPr>
        <w:t>（四）加强人才队伍建设</w:t>
      </w:r>
      <w:bookmarkEnd w:id="936"/>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加强“数字政府”建设人才队伍建设，积极开展各类专项培训活动，培养既精通政府业务，又善于使用信息化手段开展工作的综合型人才</w:t>
      </w:r>
      <w:r>
        <w:rPr>
          <w:rFonts w:hint="eastAsia" w:ascii="仿宋_GB2312" w:hAnsi="仿宋" w:eastAsia="仿宋_GB2312" w:cs="E-BX"/>
          <w:color w:val="000000" w:themeColor="text1"/>
          <w:kern w:val="0"/>
          <w:sz w:val="32"/>
          <w:szCs w:val="32"/>
          <w:highlight w:val="none"/>
          <w14:textFill>
            <w14:solidFill>
              <w14:schemeClr w14:val="tx1"/>
            </w14:solidFill>
          </w14:textFill>
        </w:rPr>
        <w:t>，全面提升全区各级领导干部“数字政府”意识。营造良好的学习实践环境，通过培养和引进相结合的方式快速组建一支既精通政府业务又擅于运用互联网技术和信息化手段开展工作的复合型人才队伍。建立健全高层次人才薪酬管理机制和激励机制，拓宽人才发展通道，促进政府、事业单位、高校、国企、智库之间专业人才多向流通，吸引高水平人才参与“数字政府”建设。针对重大战略合作项目加强精准扶持，推动以项目聚人才、以制度留人才，稳步提升经开区科技创新人才储备。</w:t>
      </w:r>
    </w:p>
    <w:p>
      <w:pPr>
        <w:widowControl/>
        <w:spacing w:line="560" w:lineRule="exact"/>
        <w:ind w:firstLine="640" w:firstLineChars="200"/>
        <w:jc w:val="left"/>
        <w:outlineLvl w:val="1"/>
        <w:rPr>
          <w:rFonts w:ascii="楷体_GB2312" w:hAnsi="黑体" w:eastAsia="楷体_GB2312" w:cs="仿宋_GB2312"/>
          <w:color w:val="000000" w:themeColor="text1"/>
          <w:kern w:val="0"/>
          <w:sz w:val="32"/>
          <w:szCs w:val="32"/>
          <w:highlight w:val="none"/>
          <w14:textFill>
            <w14:solidFill>
              <w14:schemeClr w14:val="tx1"/>
            </w14:solidFill>
          </w14:textFill>
        </w:rPr>
      </w:pPr>
      <w:bookmarkStart w:id="937" w:name="_Toc75790579"/>
      <w:r>
        <w:rPr>
          <w:rFonts w:hint="eastAsia" w:ascii="楷体_GB2312" w:hAnsi="黑体" w:eastAsia="楷体_GB2312" w:cs="仿宋_GB2312"/>
          <w:color w:val="000000" w:themeColor="text1"/>
          <w:kern w:val="0"/>
          <w:sz w:val="32"/>
          <w:szCs w:val="32"/>
          <w:highlight w:val="none"/>
          <w14:textFill>
            <w14:solidFill>
              <w14:schemeClr w14:val="tx1"/>
            </w14:solidFill>
          </w14:textFill>
        </w:rPr>
        <w:t>（五）夯实智力支撑能力</w:t>
      </w:r>
      <w:bookmarkEnd w:id="937"/>
    </w:p>
    <w:p>
      <w:pPr>
        <w:autoSpaceDE w:val="0"/>
        <w:autoSpaceDN w:val="0"/>
        <w:adjustRightInd w:val="0"/>
        <w:spacing w:line="560" w:lineRule="exact"/>
        <w:ind w:firstLine="640" w:firstLineChars="200"/>
        <w:rPr>
          <w:rFonts w:ascii="仿宋_GB2312" w:hAnsi="仿宋" w:eastAsia="仿宋_GB2312" w:cs="E-BX"/>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确保提供“数字政府”运行所需的网络、云平台资源等运行环境保障和技术支撑，满足业务应用需求</w:t>
      </w:r>
      <w:r>
        <w:rPr>
          <w:rFonts w:ascii="仿宋_GB2312" w:hAnsi="仿宋_GB2312" w:eastAsia="仿宋_GB2312" w:cs="仿宋_GB2312"/>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打造“数字政府”生态圈，有效整合产业链上各方面的力量，建立“数字政府”企业联盟，吸纳优秀企业共同参与，为“数字政府”建设、运行提供长期稳定的服务和支撑。重视创新成果知识产权保护，保障在“数字政府”改革建设中的技术优势</w:t>
      </w:r>
      <w:bookmarkEnd w:id="938"/>
      <w:r>
        <w:rPr>
          <w:rFonts w:hint="eastAsia" w:ascii="仿宋_GB2312" w:hAnsi="仿宋_GB2312" w:eastAsia="仿宋_GB2312" w:cs="仿宋_GB2312"/>
          <w:color w:val="000000" w:themeColor="text1"/>
          <w:sz w:val="32"/>
          <w:szCs w:val="32"/>
          <w14:textFill>
            <w14:solidFill>
              <w14:schemeClr w14:val="tx1"/>
            </w14:solidFill>
          </w14:textFill>
        </w:rPr>
        <w:t>。</w:t>
      </w:r>
    </w:p>
    <w:sectPr>
      <w:footerReference r:id="rId5" w:type="default"/>
      <w:pgSz w:w="11900" w:h="16838"/>
      <w:pgMar w:top="1440" w:right="1920" w:bottom="1440" w:left="1800" w:header="0" w:footer="952" w:gutter="0"/>
      <w:cols w:equalWidth="0" w:num="1">
        <w:col w:w="818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楷体_GB2312">
    <w:altName w:val="楷体"/>
    <w:panose1 w:val="02010609030101010101"/>
    <w:charset w:val="86"/>
    <w:family w:val="modern"/>
    <w:pitch w:val="default"/>
    <w:sig w:usb0="00000000" w:usb1="00000000" w:usb2="00000010" w:usb3="00000000" w:csb0="00040000" w:csb1="00000000"/>
  </w:font>
  <w:font w:name="PMingLiU">
    <w:panose1 w:val="02020500000000000000"/>
    <w:charset w:val="88"/>
    <w:family w:val="roman"/>
    <w:pitch w:val="default"/>
    <w:sig w:usb0="A00002FF" w:usb1="28CFFCFA" w:usb2="00000016" w:usb3="00000000" w:csb0="00100001" w:csb1="00000000"/>
  </w:font>
  <w:font w:name="FSJ-PK74820000048-Identity-H">
    <w:altName w:val="Times New Roman"/>
    <w:panose1 w:val="00000000000000000000"/>
    <w:charset w:val="00"/>
    <w:family w:val="roman"/>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方正仿宋_GBK">
    <w:altName w:val="微软雅黑"/>
    <w:panose1 w:val="00000000000000000000"/>
    <w:charset w:val="86"/>
    <w:family w:val="roman"/>
    <w:pitch w:val="default"/>
    <w:sig w:usb0="00000000" w:usb1="00000000" w:usb2="00000010" w:usb3="00000000" w:csb0="00040000" w:csb1="00000000"/>
  </w:font>
  <w:font w:name="方正小标宋简体">
    <w:panose1 w:val="02010601030101010101"/>
    <w:charset w:val="86"/>
    <w:family w:val="script"/>
    <w:pitch w:val="default"/>
    <w:sig w:usb0="00000001" w:usb1="080E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E-BX">
    <w:altName w:val="宋体"/>
    <w:panose1 w:val="00000000000000000000"/>
    <w:charset w:val="86"/>
    <w:family w:val="auto"/>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A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caps/>
        <w:color w:val="4F81BD" w:themeColor="accent1"/>
        <w14:textFill>
          <w14:solidFill>
            <w14:schemeClr w14:val="accent1"/>
          </w14:solidFill>
        </w14:textFill>
      </w:rPr>
    </w:pPr>
    <w:r>
      <w:rPr>
        <w:caps/>
        <w:color w:val="4F81BD" w:themeColor="accent1"/>
        <w14:textFill>
          <w14:solidFill>
            <w14:schemeClr w14:val="accent1"/>
          </w14:solidFill>
        </w14:textFill>
      </w:rPr>
      <w:fldChar w:fldCharType="begin"/>
    </w:r>
    <w:r>
      <w:rPr>
        <w:caps/>
        <w:color w:val="4F81BD" w:themeColor="accent1"/>
        <w14:textFill>
          <w14:solidFill>
            <w14:schemeClr w14:val="accent1"/>
          </w14:solidFill>
        </w14:textFill>
      </w:rPr>
      <w:instrText xml:space="preserve">PAGE   \* MERGEFORMAT</w:instrText>
    </w:r>
    <w:r>
      <w:rPr>
        <w:caps/>
        <w:color w:val="4F81BD" w:themeColor="accent1"/>
        <w14:textFill>
          <w14:solidFill>
            <w14:schemeClr w14:val="accent1"/>
          </w14:solidFill>
        </w14:textFill>
      </w:rPr>
      <w:fldChar w:fldCharType="separate"/>
    </w:r>
    <w:r>
      <w:rPr>
        <w:caps/>
        <w:color w:val="4F81BD" w:themeColor="accent1"/>
        <w:lang w:val="zh-CN"/>
        <w14:textFill>
          <w14:solidFill>
            <w14:schemeClr w14:val="accent1"/>
          </w14:solidFill>
        </w14:textFill>
      </w:rPr>
      <w:t>II</w:t>
    </w:r>
    <w:r>
      <w:rPr>
        <w:caps/>
        <w:color w:val="4F81BD" w:themeColor="accent1"/>
        <w14:textFill>
          <w14:solidFill>
            <w14:schemeClr w14:val="accent1"/>
          </w14:solidFill>
        </w14:textFill>
      </w:rPr>
      <w:fldChar w:fldCharType="end"/>
    </w: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caps/>
        <w:color w:val="4F81BD" w:themeColor="accent1"/>
        <w14:textFill>
          <w14:solidFill>
            <w14:schemeClr w14:val="accent1"/>
          </w14:solidFill>
        </w14:textFill>
      </w:rPr>
    </w:pPr>
    <w:r>
      <w:rPr>
        <w:caps/>
        <w:color w:val="4F81BD" w:themeColor="accent1"/>
        <w14:textFill>
          <w14:solidFill>
            <w14:schemeClr w14:val="accent1"/>
          </w14:solidFill>
        </w14:textFill>
      </w:rPr>
      <w:fldChar w:fldCharType="begin"/>
    </w:r>
    <w:r>
      <w:rPr>
        <w:caps/>
        <w:color w:val="4F81BD" w:themeColor="accent1"/>
        <w14:textFill>
          <w14:solidFill>
            <w14:schemeClr w14:val="accent1"/>
          </w14:solidFill>
        </w14:textFill>
      </w:rPr>
      <w:instrText xml:space="preserve">PAGE   \* MERGEFORMAT</w:instrText>
    </w:r>
    <w:r>
      <w:rPr>
        <w:caps/>
        <w:color w:val="4F81BD" w:themeColor="accent1"/>
        <w14:textFill>
          <w14:solidFill>
            <w14:schemeClr w14:val="accent1"/>
          </w14:solidFill>
        </w14:textFill>
      </w:rPr>
      <w:fldChar w:fldCharType="separate"/>
    </w:r>
    <w:r>
      <w:rPr>
        <w:caps/>
        <w:color w:val="4F81BD" w:themeColor="accent1"/>
        <w:lang w:val="zh-CN"/>
        <w14:textFill>
          <w14:solidFill>
            <w14:schemeClr w14:val="accent1"/>
          </w14:solidFill>
        </w14:textFill>
      </w:rPr>
      <w:t>II</w:t>
    </w:r>
    <w:r>
      <w:rPr>
        <w:caps/>
        <w:color w:val="4F81BD" w:themeColor="accent1"/>
        <w14:textFill>
          <w14:solidFill>
            <w14:schemeClr w14:val="accent1"/>
          </w14:solidFill>
        </w14:textFill>
      </w:rPr>
      <w:fldChar w:fldCharType="end"/>
    </w:r>
  </w:p>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716493"/>
    </w:sdtPr>
    <w:sdtContent>
      <w:p>
        <w:pPr>
          <w:pStyle w:val="18"/>
          <w:jc w:val="center"/>
        </w:pPr>
        <w:r>
          <w:fldChar w:fldCharType="begin"/>
        </w:r>
        <w:r>
          <w:instrText xml:space="preserve"> PAGE   \* MERGEFORMAT </w:instrText>
        </w:r>
        <w:r>
          <w:fldChar w:fldCharType="separate"/>
        </w:r>
        <w:r>
          <w:rPr>
            <w:lang w:val="zh-CN"/>
          </w:rPr>
          <w:t>61</w:t>
        </w:r>
        <w:r>
          <w:rPr>
            <w:lang w:val="zh-CN"/>
          </w:rPr>
          <w:fldChar w:fldCharType="end"/>
        </w:r>
      </w:p>
    </w:sdtContent>
  </w:sdt>
  <w:p>
    <w:pPr>
      <w:pStyle w:val="18"/>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oNotHyphenateCaps/>
  <w:drawingGridHorizontalSpacing w:val="105"/>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E87"/>
    <w:rsid w:val="0000007D"/>
    <w:rsid w:val="00000234"/>
    <w:rsid w:val="000004C4"/>
    <w:rsid w:val="000010D6"/>
    <w:rsid w:val="000012AF"/>
    <w:rsid w:val="0000132E"/>
    <w:rsid w:val="0000262F"/>
    <w:rsid w:val="000028D8"/>
    <w:rsid w:val="00002B39"/>
    <w:rsid w:val="00002BB3"/>
    <w:rsid w:val="00002D36"/>
    <w:rsid w:val="000033E4"/>
    <w:rsid w:val="000034BB"/>
    <w:rsid w:val="00003A4D"/>
    <w:rsid w:val="00003FA0"/>
    <w:rsid w:val="000045A3"/>
    <w:rsid w:val="00004EC7"/>
    <w:rsid w:val="000055CC"/>
    <w:rsid w:val="00005BAB"/>
    <w:rsid w:val="0000663F"/>
    <w:rsid w:val="00007238"/>
    <w:rsid w:val="0000782D"/>
    <w:rsid w:val="00007915"/>
    <w:rsid w:val="00007DCC"/>
    <w:rsid w:val="0001000C"/>
    <w:rsid w:val="000108E3"/>
    <w:rsid w:val="00011642"/>
    <w:rsid w:val="0001226A"/>
    <w:rsid w:val="0001233C"/>
    <w:rsid w:val="000127C2"/>
    <w:rsid w:val="00012A13"/>
    <w:rsid w:val="00012B7F"/>
    <w:rsid w:val="00013684"/>
    <w:rsid w:val="00014378"/>
    <w:rsid w:val="00014B12"/>
    <w:rsid w:val="00014BC0"/>
    <w:rsid w:val="00014CBE"/>
    <w:rsid w:val="0001552D"/>
    <w:rsid w:val="00015689"/>
    <w:rsid w:val="000165AB"/>
    <w:rsid w:val="00016793"/>
    <w:rsid w:val="00017177"/>
    <w:rsid w:val="00017BE2"/>
    <w:rsid w:val="00017F73"/>
    <w:rsid w:val="000214CC"/>
    <w:rsid w:val="00021869"/>
    <w:rsid w:val="000220C6"/>
    <w:rsid w:val="000223A4"/>
    <w:rsid w:val="000224E2"/>
    <w:rsid w:val="00022676"/>
    <w:rsid w:val="000228C6"/>
    <w:rsid w:val="00022C42"/>
    <w:rsid w:val="000232BB"/>
    <w:rsid w:val="000233E8"/>
    <w:rsid w:val="00023A21"/>
    <w:rsid w:val="00023A3B"/>
    <w:rsid w:val="00023B08"/>
    <w:rsid w:val="000243AF"/>
    <w:rsid w:val="0002440A"/>
    <w:rsid w:val="000244A2"/>
    <w:rsid w:val="00024970"/>
    <w:rsid w:val="000249BA"/>
    <w:rsid w:val="000253D0"/>
    <w:rsid w:val="00025DA9"/>
    <w:rsid w:val="00025DB4"/>
    <w:rsid w:val="00025F40"/>
    <w:rsid w:val="00026A10"/>
    <w:rsid w:val="00026C8D"/>
    <w:rsid w:val="00026CAC"/>
    <w:rsid w:val="0002712D"/>
    <w:rsid w:val="00027C1B"/>
    <w:rsid w:val="0003038A"/>
    <w:rsid w:val="00030E9E"/>
    <w:rsid w:val="0003156F"/>
    <w:rsid w:val="0003169F"/>
    <w:rsid w:val="00031800"/>
    <w:rsid w:val="0003188E"/>
    <w:rsid w:val="0003199C"/>
    <w:rsid w:val="00031B1B"/>
    <w:rsid w:val="00032039"/>
    <w:rsid w:val="00033465"/>
    <w:rsid w:val="00033C47"/>
    <w:rsid w:val="0003451F"/>
    <w:rsid w:val="00034C94"/>
    <w:rsid w:val="00035538"/>
    <w:rsid w:val="00035E66"/>
    <w:rsid w:val="00036EB4"/>
    <w:rsid w:val="000371B1"/>
    <w:rsid w:val="0003723B"/>
    <w:rsid w:val="000378EE"/>
    <w:rsid w:val="00040151"/>
    <w:rsid w:val="0004059F"/>
    <w:rsid w:val="00040E20"/>
    <w:rsid w:val="00041634"/>
    <w:rsid w:val="000420B2"/>
    <w:rsid w:val="0004285A"/>
    <w:rsid w:val="000433CA"/>
    <w:rsid w:val="00043528"/>
    <w:rsid w:val="000437C7"/>
    <w:rsid w:val="00043C8F"/>
    <w:rsid w:val="00044B42"/>
    <w:rsid w:val="00044CF2"/>
    <w:rsid w:val="00045A36"/>
    <w:rsid w:val="00045BDE"/>
    <w:rsid w:val="00046123"/>
    <w:rsid w:val="00046147"/>
    <w:rsid w:val="00046251"/>
    <w:rsid w:val="000464B5"/>
    <w:rsid w:val="00046910"/>
    <w:rsid w:val="00046F28"/>
    <w:rsid w:val="00046F9D"/>
    <w:rsid w:val="0005047D"/>
    <w:rsid w:val="00050914"/>
    <w:rsid w:val="00050E94"/>
    <w:rsid w:val="000516A8"/>
    <w:rsid w:val="000518F9"/>
    <w:rsid w:val="00052159"/>
    <w:rsid w:val="000521FC"/>
    <w:rsid w:val="0005297C"/>
    <w:rsid w:val="00052D31"/>
    <w:rsid w:val="000536CC"/>
    <w:rsid w:val="00053C89"/>
    <w:rsid w:val="00053F75"/>
    <w:rsid w:val="00053FF8"/>
    <w:rsid w:val="00054222"/>
    <w:rsid w:val="00054A37"/>
    <w:rsid w:val="00054FF7"/>
    <w:rsid w:val="00055555"/>
    <w:rsid w:val="00055F43"/>
    <w:rsid w:val="00056005"/>
    <w:rsid w:val="00056825"/>
    <w:rsid w:val="000568AC"/>
    <w:rsid w:val="00057212"/>
    <w:rsid w:val="000572CA"/>
    <w:rsid w:val="00057EB4"/>
    <w:rsid w:val="000601C9"/>
    <w:rsid w:val="00060581"/>
    <w:rsid w:val="00060631"/>
    <w:rsid w:val="00060D4D"/>
    <w:rsid w:val="00060D9D"/>
    <w:rsid w:val="00060F14"/>
    <w:rsid w:val="000611F9"/>
    <w:rsid w:val="000615FE"/>
    <w:rsid w:val="00061BF8"/>
    <w:rsid w:val="00061D8D"/>
    <w:rsid w:val="000621F7"/>
    <w:rsid w:val="0006259C"/>
    <w:rsid w:val="00062BDF"/>
    <w:rsid w:val="000632D1"/>
    <w:rsid w:val="00064D68"/>
    <w:rsid w:val="00065F68"/>
    <w:rsid w:val="0006613A"/>
    <w:rsid w:val="00066628"/>
    <w:rsid w:val="0006668A"/>
    <w:rsid w:val="0006737D"/>
    <w:rsid w:val="000677DA"/>
    <w:rsid w:val="00070246"/>
    <w:rsid w:val="000703D0"/>
    <w:rsid w:val="00070476"/>
    <w:rsid w:val="00071071"/>
    <w:rsid w:val="00071E1A"/>
    <w:rsid w:val="0007222F"/>
    <w:rsid w:val="00072246"/>
    <w:rsid w:val="00072DFE"/>
    <w:rsid w:val="00072F71"/>
    <w:rsid w:val="0007309E"/>
    <w:rsid w:val="000731A2"/>
    <w:rsid w:val="0007353C"/>
    <w:rsid w:val="00073B6A"/>
    <w:rsid w:val="00073D17"/>
    <w:rsid w:val="00073F99"/>
    <w:rsid w:val="000740BD"/>
    <w:rsid w:val="000742D1"/>
    <w:rsid w:val="00074E94"/>
    <w:rsid w:val="00075929"/>
    <w:rsid w:val="0007625D"/>
    <w:rsid w:val="000766C9"/>
    <w:rsid w:val="00076A79"/>
    <w:rsid w:val="00076CEE"/>
    <w:rsid w:val="00076E3A"/>
    <w:rsid w:val="0007722E"/>
    <w:rsid w:val="00077490"/>
    <w:rsid w:val="000774B3"/>
    <w:rsid w:val="000776B4"/>
    <w:rsid w:val="00077B9B"/>
    <w:rsid w:val="000802AA"/>
    <w:rsid w:val="0008054C"/>
    <w:rsid w:val="00080CD2"/>
    <w:rsid w:val="0008137C"/>
    <w:rsid w:val="00081769"/>
    <w:rsid w:val="00081DFD"/>
    <w:rsid w:val="000821DA"/>
    <w:rsid w:val="00083011"/>
    <w:rsid w:val="000830CB"/>
    <w:rsid w:val="000833F0"/>
    <w:rsid w:val="00083AB9"/>
    <w:rsid w:val="00083B6B"/>
    <w:rsid w:val="00083DDD"/>
    <w:rsid w:val="000848FB"/>
    <w:rsid w:val="00084E08"/>
    <w:rsid w:val="00086B5B"/>
    <w:rsid w:val="00086BF2"/>
    <w:rsid w:val="000873C9"/>
    <w:rsid w:val="0008793A"/>
    <w:rsid w:val="000900AA"/>
    <w:rsid w:val="000903FD"/>
    <w:rsid w:val="00090CBB"/>
    <w:rsid w:val="00091367"/>
    <w:rsid w:val="000923B7"/>
    <w:rsid w:val="00092D80"/>
    <w:rsid w:val="000933CA"/>
    <w:rsid w:val="000933D3"/>
    <w:rsid w:val="000937C5"/>
    <w:rsid w:val="00094032"/>
    <w:rsid w:val="000942B6"/>
    <w:rsid w:val="00094540"/>
    <w:rsid w:val="00094B51"/>
    <w:rsid w:val="000952A4"/>
    <w:rsid w:val="00095480"/>
    <w:rsid w:val="00095A9E"/>
    <w:rsid w:val="0009672C"/>
    <w:rsid w:val="00096DD3"/>
    <w:rsid w:val="000974A2"/>
    <w:rsid w:val="0009765B"/>
    <w:rsid w:val="00097780"/>
    <w:rsid w:val="000A078B"/>
    <w:rsid w:val="000A1488"/>
    <w:rsid w:val="000A198C"/>
    <w:rsid w:val="000A1BB2"/>
    <w:rsid w:val="000A3102"/>
    <w:rsid w:val="000A314A"/>
    <w:rsid w:val="000A3385"/>
    <w:rsid w:val="000A36FF"/>
    <w:rsid w:val="000A3AB5"/>
    <w:rsid w:val="000A4662"/>
    <w:rsid w:val="000A4E0E"/>
    <w:rsid w:val="000A5134"/>
    <w:rsid w:val="000A55DA"/>
    <w:rsid w:val="000A5F8F"/>
    <w:rsid w:val="000A6713"/>
    <w:rsid w:val="000A763E"/>
    <w:rsid w:val="000A7A55"/>
    <w:rsid w:val="000B126D"/>
    <w:rsid w:val="000B2157"/>
    <w:rsid w:val="000B2984"/>
    <w:rsid w:val="000B4790"/>
    <w:rsid w:val="000B482A"/>
    <w:rsid w:val="000B496D"/>
    <w:rsid w:val="000B5042"/>
    <w:rsid w:val="000B509E"/>
    <w:rsid w:val="000B57BF"/>
    <w:rsid w:val="000B593C"/>
    <w:rsid w:val="000B5B11"/>
    <w:rsid w:val="000B5CCB"/>
    <w:rsid w:val="000B6472"/>
    <w:rsid w:val="000B69E9"/>
    <w:rsid w:val="000B7330"/>
    <w:rsid w:val="000C082E"/>
    <w:rsid w:val="000C1835"/>
    <w:rsid w:val="000C1B08"/>
    <w:rsid w:val="000C2B8D"/>
    <w:rsid w:val="000C32B8"/>
    <w:rsid w:val="000C356E"/>
    <w:rsid w:val="000C37EC"/>
    <w:rsid w:val="000C3F14"/>
    <w:rsid w:val="000C44CC"/>
    <w:rsid w:val="000C4C1F"/>
    <w:rsid w:val="000C50BC"/>
    <w:rsid w:val="000C54E7"/>
    <w:rsid w:val="000C5577"/>
    <w:rsid w:val="000C57B7"/>
    <w:rsid w:val="000C5AFE"/>
    <w:rsid w:val="000C6384"/>
    <w:rsid w:val="000C656F"/>
    <w:rsid w:val="000C675D"/>
    <w:rsid w:val="000C78BE"/>
    <w:rsid w:val="000D1639"/>
    <w:rsid w:val="000D22BC"/>
    <w:rsid w:val="000D22F9"/>
    <w:rsid w:val="000D3335"/>
    <w:rsid w:val="000D3350"/>
    <w:rsid w:val="000D3441"/>
    <w:rsid w:val="000D348D"/>
    <w:rsid w:val="000D3662"/>
    <w:rsid w:val="000D3A98"/>
    <w:rsid w:val="000D455E"/>
    <w:rsid w:val="000D48C6"/>
    <w:rsid w:val="000D547D"/>
    <w:rsid w:val="000D5AF3"/>
    <w:rsid w:val="000D5D92"/>
    <w:rsid w:val="000D5FC7"/>
    <w:rsid w:val="000D60B1"/>
    <w:rsid w:val="000D622C"/>
    <w:rsid w:val="000D623E"/>
    <w:rsid w:val="000D775A"/>
    <w:rsid w:val="000E0625"/>
    <w:rsid w:val="000E06DC"/>
    <w:rsid w:val="000E0750"/>
    <w:rsid w:val="000E0DE1"/>
    <w:rsid w:val="000E15EC"/>
    <w:rsid w:val="000E1808"/>
    <w:rsid w:val="000E19AF"/>
    <w:rsid w:val="000E1B6B"/>
    <w:rsid w:val="000E23B8"/>
    <w:rsid w:val="000E29ED"/>
    <w:rsid w:val="000E2B1C"/>
    <w:rsid w:val="000E2F74"/>
    <w:rsid w:val="000E3026"/>
    <w:rsid w:val="000E3741"/>
    <w:rsid w:val="000E39C2"/>
    <w:rsid w:val="000E3C71"/>
    <w:rsid w:val="000E48F9"/>
    <w:rsid w:val="000E4A79"/>
    <w:rsid w:val="000E4BE7"/>
    <w:rsid w:val="000E4CB0"/>
    <w:rsid w:val="000E531C"/>
    <w:rsid w:val="000E5C56"/>
    <w:rsid w:val="000E68D6"/>
    <w:rsid w:val="000E69FD"/>
    <w:rsid w:val="000E6D22"/>
    <w:rsid w:val="000E768E"/>
    <w:rsid w:val="000E7930"/>
    <w:rsid w:val="000E7950"/>
    <w:rsid w:val="000E7B79"/>
    <w:rsid w:val="000F0069"/>
    <w:rsid w:val="000F0202"/>
    <w:rsid w:val="000F060B"/>
    <w:rsid w:val="000F06AF"/>
    <w:rsid w:val="000F0799"/>
    <w:rsid w:val="000F2DCD"/>
    <w:rsid w:val="000F2E7B"/>
    <w:rsid w:val="000F30FF"/>
    <w:rsid w:val="000F3521"/>
    <w:rsid w:val="000F40D5"/>
    <w:rsid w:val="000F498F"/>
    <w:rsid w:val="000F5280"/>
    <w:rsid w:val="000F59F3"/>
    <w:rsid w:val="000F5ADD"/>
    <w:rsid w:val="000F5C60"/>
    <w:rsid w:val="000F5D03"/>
    <w:rsid w:val="000F61F4"/>
    <w:rsid w:val="000F676E"/>
    <w:rsid w:val="000F6AA1"/>
    <w:rsid w:val="000F722D"/>
    <w:rsid w:val="000F7CA1"/>
    <w:rsid w:val="000F7E4E"/>
    <w:rsid w:val="001000B2"/>
    <w:rsid w:val="0010043B"/>
    <w:rsid w:val="00101AC6"/>
    <w:rsid w:val="00101AE3"/>
    <w:rsid w:val="00101CF2"/>
    <w:rsid w:val="00103436"/>
    <w:rsid w:val="00103C0B"/>
    <w:rsid w:val="00104666"/>
    <w:rsid w:val="00104DCC"/>
    <w:rsid w:val="00106094"/>
    <w:rsid w:val="001067D4"/>
    <w:rsid w:val="00106C85"/>
    <w:rsid w:val="001073FA"/>
    <w:rsid w:val="001079FD"/>
    <w:rsid w:val="00107FDA"/>
    <w:rsid w:val="00110A2A"/>
    <w:rsid w:val="0011102F"/>
    <w:rsid w:val="0011127A"/>
    <w:rsid w:val="0011133F"/>
    <w:rsid w:val="00111A82"/>
    <w:rsid w:val="0011222A"/>
    <w:rsid w:val="00112F15"/>
    <w:rsid w:val="001130B7"/>
    <w:rsid w:val="001130C8"/>
    <w:rsid w:val="001136CF"/>
    <w:rsid w:val="00113B22"/>
    <w:rsid w:val="0011413E"/>
    <w:rsid w:val="0011417E"/>
    <w:rsid w:val="00114180"/>
    <w:rsid w:val="001147F9"/>
    <w:rsid w:val="00114A9E"/>
    <w:rsid w:val="00115DA6"/>
    <w:rsid w:val="00115F52"/>
    <w:rsid w:val="0011646A"/>
    <w:rsid w:val="0011668C"/>
    <w:rsid w:val="0011690E"/>
    <w:rsid w:val="00116DE1"/>
    <w:rsid w:val="00117DA3"/>
    <w:rsid w:val="00120261"/>
    <w:rsid w:val="00120CCC"/>
    <w:rsid w:val="00121083"/>
    <w:rsid w:val="00121662"/>
    <w:rsid w:val="00121ED7"/>
    <w:rsid w:val="00122E36"/>
    <w:rsid w:val="00124076"/>
    <w:rsid w:val="00124085"/>
    <w:rsid w:val="0012411F"/>
    <w:rsid w:val="0012424B"/>
    <w:rsid w:val="001246BB"/>
    <w:rsid w:val="0012526E"/>
    <w:rsid w:val="00125B32"/>
    <w:rsid w:val="00125C2C"/>
    <w:rsid w:val="00125F43"/>
    <w:rsid w:val="0012677E"/>
    <w:rsid w:val="0012778B"/>
    <w:rsid w:val="0012788C"/>
    <w:rsid w:val="00127B02"/>
    <w:rsid w:val="00130415"/>
    <w:rsid w:val="0013054D"/>
    <w:rsid w:val="00131390"/>
    <w:rsid w:val="0013153F"/>
    <w:rsid w:val="001317BB"/>
    <w:rsid w:val="0013192C"/>
    <w:rsid w:val="00131B7A"/>
    <w:rsid w:val="001324D4"/>
    <w:rsid w:val="00132E40"/>
    <w:rsid w:val="001334DF"/>
    <w:rsid w:val="0013365A"/>
    <w:rsid w:val="00133660"/>
    <w:rsid w:val="00133A29"/>
    <w:rsid w:val="0013481E"/>
    <w:rsid w:val="00134B0D"/>
    <w:rsid w:val="00134B23"/>
    <w:rsid w:val="00134E2E"/>
    <w:rsid w:val="00135C79"/>
    <w:rsid w:val="00136526"/>
    <w:rsid w:val="00136898"/>
    <w:rsid w:val="001369A3"/>
    <w:rsid w:val="00136AE9"/>
    <w:rsid w:val="00136D42"/>
    <w:rsid w:val="00137317"/>
    <w:rsid w:val="001373B4"/>
    <w:rsid w:val="00137A50"/>
    <w:rsid w:val="00137C02"/>
    <w:rsid w:val="0014062C"/>
    <w:rsid w:val="00140805"/>
    <w:rsid w:val="0014089D"/>
    <w:rsid w:val="00140AE7"/>
    <w:rsid w:val="00141233"/>
    <w:rsid w:val="00141FE2"/>
    <w:rsid w:val="00142C04"/>
    <w:rsid w:val="00143057"/>
    <w:rsid w:val="00143162"/>
    <w:rsid w:val="00143353"/>
    <w:rsid w:val="001433B9"/>
    <w:rsid w:val="00144764"/>
    <w:rsid w:val="00145312"/>
    <w:rsid w:val="00145390"/>
    <w:rsid w:val="00145901"/>
    <w:rsid w:val="00145AFB"/>
    <w:rsid w:val="00145D3B"/>
    <w:rsid w:val="001476FE"/>
    <w:rsid w:val="00147BF8"/>
    <w:rsid w:val="00150095"/>
    <w:rsid w:val="00150FE8"/>
    <w:rsid w:val="00151180"/>
    <w:rsid w:val="001511B7"/>
    <w:rsid w:val="0015169D"/>
    <w:rsid w:val="00151A1F"/>
    <w:rsid w:val="00151E70"/>
    <w:rsid w:val="00152061"/>
    <w:rsid w:val="00152D44"/>
    <w:rsid w:val="00152ED3"/>
    <w:rsid w:val="0015317B"/>
    <w:rsid w:val="0015327B"/>
    <w:rsid w:val="00153566"/>
    <w:rsid w:val="0015363C"/>
    <w:rsid w:val="0015396F"/>
    <w:rsid w:val="00153D9B"/>
    <w:rsid w:val="00154359"/>
    <w:rsid w:val="00154A5A"/>
    <w:rsid w:val="001556B1"/>
    <w:rsid w:val="001557C3"/>
    <w:rsid w:val="0015604D"/>
    <w:rsid w:val="00156232"/>
    <w:rsid w:val="001565AC"/>
    <w:rsid w:val="00156EB3"/>
    <w:rsid w:val="00157759"/>
    <w:rsid w:val="001579E7"/>
    <w:rsid w:val="00160178"/>
    <w:rsid w:val="0016192B"/>
    <w:rsid w:val="00161EE3"/>
    <w:rsid w:val="001633EE"/>
    <w:rsid w:val="0016351C"/>
    <w:rsid w:val="00163C17"/>
    <w:rsid w:val="00164036"/>
    <w:rsid w:val="0016418B"/>
    <w:rsid w:val="00164849"/>
    <w:rsid w:val="0016492D"/>
    <w:rsid w:val="00164DED"/>
    <w:rsid w:val="00165272"/>
    <w:rsid w:val="00165E80"/>
    <w:rsid w:val="00165EF1"/>
    <w:rsid w:val="001670EE"/>
    <w:rsid w:val="00167441"/>
    <w:rsid w:val="00167B63"/>
    <w:rsid w:val="00167EE5"/>
    <w:rsid w:val="00171D75"/>
    <w:rsid w:val="001722E1"/>
    <w:rsid w:val="001729A0"/>
    <w:rsid w:val="00172AFB"/>
    <w:rsid w:val="00172C53"/>
    <w:rsid w:val="00173080"/>
    <w:rsid w:val="001730A6"/>
    <w:rsid w:val="0017330D"/>
    <w:rsid w:val="0017331C"/>
    <w:rsid w:val="001735A6"/>
    <w:rsid w:val="0017371C"/>
    <w:rsid w:val="00173A32"/>
    <w:rsid w:val="00173F08"/>
    <w:rsid w:val="001740C6"/>
    <w:rsid w:val="00174139"/>
    <w:rsid w:val="001747FC"/>
    <w:rsid w:val="00174912"/>
    <w:rsid w:val="00175485"/>
    <w:rsid w:val="0017635B"/>
    <w:rsid w:val="001771BD"/>
    <w:rsid w:val="00177865"/>
    <w:rsid w:val="00177C26"/>
    <w:rsid w:val="00177C3B"/>
    <w:rsid w:val="0018048D"/>
    <w:rsid w:val="001813A4"/>
    <w:rsid w:val="00181B93"/>
    <w:rsid w:val="001821A7"/>
    <w:rsid w:val="001823F2"/>
    <w:rsid w:val="00182E1E"/>
    <w:rsid w:val="00183218"/>
    <w:rsid w:val="0018349C"/>
    <w:rsid w:val="00183B5D"/>
    <w:rsid w:val="0018401E"/>
    <w:rsid w:val="0018538C"/>
    <w:rsid w:val="001855A0"/>
    <w:rsid w:val="00185826"/>
    <w:rsid w:val="00185DDF"/>
    <w:rsid w:val="001863B0"/>
    <w:rsid w:val="0018658E"/>
    <w:rsid w:val="00186616"/>
    <w:rsid w:val="001866DF"/>
    <w:rsid w:val="00186C1C"/>
    <w:rsid w:val="00186D85"/>
    <w:rsid w:val="00187692"/>
    <w:rsid w:val="00187F69"/>
    <w:rsid w:val="00191277"/>
    <w:rsid w:val="0019182E"/>
    <w:rsid w:val="00191FF5"/>
    <w:rsid w:val="00192185"/>
    <w:rsid w:val="0019237E"/>
    <w:rsid w:val="00193034"/>
    <w:rsid w:val="001933A7"/>
    <w:rsid w:val="001933CF"/>
    <w:rsid w:val="0019381B"/>
    <w:rsid w:val="00193869"/>
    <w:rsid w:val="00194284"/>
    <w:rsid w:val="001944CD"/>
    <w:rsid w:val="0019494D"/>
    <w:rsid w:val="00194EBE"/>
    <w:rsid w:val="00194F15"/>
    <w:rsid w:val="00195454"/>
    <w:rsid w:val="00196D03"/>
    <w:rsid w:val="00197029"/>
    <w:rsid w:val="00197C55"/>
    <w:rsid w:val="001A0444"/>
    <w:rsid w:val="001A071F"/>
    <w:rsid w:val="001A1BFA"/>
    <w:rsid w:val="001A255B"/>
    <w:rsid w:val="001A3233"/>
    <w:rsid w:val="001A3904"/>
    <w:rsid w:val="001A46ED"/>
    <w:rsid w:val="001A4816"/>
    <w:rsid w:val="001A5053"/>
    <w:rsid w:val="001A5563"/>
    <w:rsid w:val="001A5A22"/>
    <w:rsid w:val="001A5C17"/>
    <w:rsid w:val="001A5FEC"/>
    <w:rsid w:val="001A65C2"/>
    <w:rsid w:val="001A68A6"/>
    <w:rsid w:val="001A6AC2"/>
    <w:rsid w:val="001A6CF5"/>
    <w:rsid w:val="001A6E96"/>
    <w:rsid w:val="001A70DE"/>
    <w:rsid w:val="001B0B47"/>
    <w:rsid w:val="001B0D00"/>
    <w:rsid w:val="001B111E"/>
    <w:rsid w:val="001B16D9"/>
    <w:rsid w:val="001B1754"/>
    <w:rsid w:val="001B1D9C"/>
    <w:rsid w:val="001B2E94"/>
    <w:rsid w:val="001B32C7"/>
    <w:rsid w:val="001B33C9"/>
    <w:rsid w:val="001B3AEF"/>
    <w:rsid w:val="001B3D8D"/>
    <w:rsid w:val="001B3F03"/>
    <w:rsid w:val="001B410E"/>
    <w:rsid w:val="001B4BCA"/>
    <w:rsid w:val="001B5979"/>
    <w:rsid w:val="001B59EA"/>
    <w:rsid w:val="001B73F1"/>
    <w:rsid w:val="001B7B44"/>
    <w:rsid w:val="001C016A"/>
    <w:rsid w:val="001C0557"/>
    <w:rsid w:val="001C067A"/>
    <w:rsid w:val="001C0B44"/>
    <w:rsid w:val="001C1D44"/>
    <w:rsid w:val="001C22A4"/>
    <w:rsid w:val="001C335F"/>
    <w:rsid w:val="001C37ED"/>
    <w:rsid w:val="001C3C77"/>
    <w:rsid w:val="001C3F4D"/>
    <w:rsid w:val="001C5407"/>
    <w:rsid w:val="001C7097"/>
    <w:rsid w:val="001C73AF"/>
    <w:rsid w:val="001C785B"/>
    <w:rsid w:val="001C7EDB"/>
    <w:rsid w:val="001D039B"/>
    <w:rsid w:val="001D03D6"/>
    <w:rsid w:val="001D13A0"/>
    <w:rsid w:val="001D19D0"/>
    <w:rsid w:val="001D229E"/>
    <w:rsid w:val="001D277D"/>
    <w:rsid w:val="001D2B1F"/>
    <w:rsid w:val="001D2DC5"/>
    <w:rsid w:val="001D34E1"/>
    <w:rsid w:val="001D3AEC"/>
    <w:rsid w:val="001D462A"/>
    <w:rsid w:val="001D463A"/>
    <w:rsid w:val="001D4692"/>
    <w:rsid w:val="001D4AE2"/>
    <w:rsid w:val="001D4B35"/>
    <w:rsid w:val="001D4C7A"/>
    <w:rsid w:val="001D55C7"/>
    <w:rsid w:val="001D5CD6"/>
    <w:rsid w:val="001D6AB8"/>
    <w:rsid w:val="001D6FC2"/>
    <w:rsid w:val="001D6FCD"/>
    <w:rsid w:val="001D7607"/>
    <w:rsid w:val="001D7B5F"/>
    <w:rsid w:val="001D7D11"/>
    <w:rsid w:val="001E056E"/>
    <w:rsid w:val="001E1026"/>
    <w:rsid w:val="001E1229"/>
    <w:rsid w:val="001E1480"/>
    <w:rsid w:val="001E15EF"/>
    <w:rsid w:val="001E2618"/>
    <w:rsid w:val="001E26B7"/>
    <w:rsid w:val="001E2B7E"/>
    <w:rsid w:val="001E354A"/>
    <w:rsid w:val="001E45F4"/>
    <w:rsid w:val="001E488F"/>
    <w:rsid w:val="001E4F75"/>
    <w:rsid w:val="001E521E"/>
    <w:rsid w:val="001E5F5D"/>
    <w:rsid w:val="001E6236"/>
    <w:rsid w:val="001E6BCE"/>
    <w:rsid w:val="001E6DFB"/>
    <w:rsid w:val="001E70D8"/>
    <w:rsid w:val="001E7A0E"/>
    <w:rsid w:val="001E7BA7"/>
    <w:rsid w:val="001E7CDC"/>
    <w:rsid w:val="001E7FC9"/>
    <w:rsid w:val="001F04BC"/>
    <w:rsid w:val="001F167D"/>
    <w:rsid w:val="001F17F5"/>
    <w:rsid w:val="001F21F9"/>
    <w:rsid w:val="001F294C"/>
    <w:rsid w:val="001F2ADA"/>
    <w:rsid w:val="001F2D20"/>
    <w:rsid w:val="001F3D70"/>
    <w:rsid w:val="001F3E87"/>
    <w:rsid w:val="001F3FBC"/>
    <w:rsid w:val="001F4BB8"/>
    <w:rsid w:val="001F514B"/>
    <w:rsid w:val="001F5DB3"/>
    <w:rsid w:val="001F6BA0"/>
    <w:rsid w:val="001F751E"/>
    <w:rsid w:val="001F755F"/>
    <w:rsid w:val="001F7968"/>
    <w:rsid w:val="00200AA2"/>
    <w:rsid w:val="00200D2F"/>
    <w:rsid w:val="00201633"/>
    <w:rsid w:val="002019FF"/>
    <w:rsid w:val="0020336D"/>
    <w:rsid w:val="00203854"/>
    <w:rsid w:val="00203A31"/>
    <w:rsid w:val="00203E16"/>
    <w:rsid w:val="00204223"/>
    <w:rsid w:val="00204481"/>
    <w:rsid w:val="00204D0C"/>
    <w:rsid w:val="002053C5"/>
    <w:rsid w:val="002055A9"/>
    <w:rsid w:val="0020635D"/>
    <w:rsid w:val="00206532"/>
    <w:rsid w:val="00206F0D"/>
    <w:rsid w:val="002071D4"/>
    <w:rsid w:val="0020736A"/>
    <w:rsid w:val="00210414"/>
    <w:rsid w:val="00211131"/>
    <w:rsid w:val="0021140F"/>
    <w:rsid w:val="002114FF"/>
    <w:rsid w:val="00211B53"/>
    <w:rsid w:val="00211D66"/>
    <w:rsid w:val="002127D2"/>
    <w:rsid w:val="00212854"/>
    <w:rsid w:val="002138A0"/>
    <w:rsid w:val="00214065"/>
    <w:rsid w:val="00214894"/>
    <w:rsid w:val="00215A73"/>
    <w:rsid w:val="00215AF6"/>
    <w:rsid w:val="00215C64"/>
    <w:rsid w:val="00215E00"/>
    <w:rsid w:val="00215F4A"/>
    <w:rsid w:val="002163C2"/>
    <w:rsid w:val="0022004A"/>
    <w:rsid w:val="00220897"/>
    <w:rsid w:val="00221221"/>
    <w:rsid w:val="0022144A"/>
    <w:rsid w:val="0022148C"/>
    <w:rsid w:val="002214D4"/>
    <w:rsid w:val="00221905"/>
    <w:rsid w:val="00221C4D"/>
    <w:rsid w:val="002237A3"/>
    <w:rsid w:val="00224056"/>
    <w:rsid w:val="00224145"/>
    <w:rsid w:val="00224598"/>
    <w:rsid w:val="0022485B"/>
    <w:rsid w:val="0022542C"/>
    <w:rsid w:val="00225704"/>
    <w:rsid w:val="00225768"/>
    <w:rsid w:val="0022582F"/>
    <w:rsid w:val="00225BEB"/>
    <w:rsid w:val="00225BF0"/>
    <w:rsid w:val="00226895"/>
    <w:rsid w:val="00226DE3"/>
    <w:rsid w:val="00227961"/>
    <w:rsid w:val="002304B3"/>
    <w:rsid w:val="00231D21"/>
    <w:rsid w:val="00232156"/>
    <w:rsid w:val="00232579"/>
    <w:rsid w:val="00233F1B"/>
    <w:rsid w:val="0023488F"/>
    <w:rsid w:val="00235E0A"/>
    <w:rsid w:val="00235E4E"/>
    <w:rsid w:val="00237498"/>
    <w:rsid w:val="00237996"/>
    <w:rsid w:val="00237BDA"/>
    <w:rsid w:val="00240401"/>
    <w:rsid w:val="0024059E"/>
    <w:rsid w:val="00240F45"/>
    <w:rsid w:val="00241986"/>
    <w:rsid w:val="0024291C"/>
    <w:rsid w:val="00242DE0"/>
    <w:rsid w:val="00242F49"/>
    <w:rsid w:val="00243207"/>
    <w:rsid w:val="002432B5"/>
    <w:rsid w:val="00243A4E"/>
    <w:rsid w:val="002443D3"/>
    <w:rsid w:val="00244963"/>
    <w:rsid w:val="00244CA0"/>
    <w:rsid w:val="00244FB7"/>
    <w:rsid w:val="00246074"/>
    <w:rsid w:val="00246A6F"/>
    <w:rsid w:val="00246CE9"/>
    <w:rsid w:val="00246DFE"/>
    <w:rsid w:val="0024714C"/>
    <w:rsid w:val="00247592"/>
    <w:rsid w:val="002475C4"/>
    <w:rsid w:val="002476CA"/>
    <w:rsid w:val="00247A46"/>
    <w:rsid w:val="00247A51"/>
    <w:rsid w:val="00250668"/>
    <w:rsid w:val="00250A4E"/>
    <w:rsid w:val="00251443"/>
    <w:rsid w:val="00252BCB"/>
    <w:rsid w:val="0025312E"/>
    <w:rsid w:val="0025315B"/>
    <w:rsid w:val="00253790"/>
    <w:rsid w:val="002538C0"/>
    <w:rsid w:val="00253C9A"/>
    <w:rsid w:val="002548A2"/>
    <w:rsid w:val="00256071"/>
    <w:rsid w:val="00256307"/>
    <w:rsid w:val="0025660D"/>
    <w:rsid w:val="00256780"/>
    <w:rsid w:val="00256879"/>
    <w:rsid w:val="00256BE3"/>
    <w:rsid w:val="00256D6E"/>
    <w:rsid w:val="002570A7"/>
    <w:rsid w:val="00257373"/>
    <w:rsid w:val="002574FE"/>
    <w:rsid w:val="0025772F"/>
    <w:rsid w:val="0025776E"/>
    <w:rsid w:val="0025790C"/>
    <w:rsid w:val="00257AE8"/>
    <w:rsid w:val="00260470"/>
    <w:rsid w:val="0026103D"/>
    <w:rsid w:val="002611F7"/>
    <w:rsid w:val="00261206"/>
    <w:rsid w:val="00261747"/>
    <w:rsid w:val="00262A71"/>
    <w:rsid w:val="002631A2"/>
    <w:rsid w:val="0026432B"/>
    <w:rsid w:val="00264E31"/>
    <w:rsid w:val="00264FCC"/>
    <w:rsid w:val="002651B9"/>
    <w:rsid w:val="002652B0"/>
    <w:rsid w:val="002655DF"/>
    <w:rsid w:val="00266280"/>
    <w:rsid w:val="0026792B"/>
    <w:rsid w:val="00267A7F"/>
    <w:rsid w:val="00267C4C"/>
    <w:rsid w:val="00267D55"/>
    <w:rsid w:val="00270416"/>
    <w:rsid w:val="00270526"/>
    <w:rsid w:val="0027085C"/>
    <w:rsid w:val="00270D7C"/>
    <w:rsid w:val="00270F89"/>
    <w:rsid w:val="00271124"/>
    <w:rsid w:val="00271212"/>
    <w:rsid w:val="0027195B"/>
    <w:rsid w:val="00271A3E"/>
    <w:rsid w:val="00273109"/>
    <w:rsid w:val="00273198"/>
    <w:rsid w:val="002732E3"/>
    <w:rsid w:val="00273BC7"/>
    <w:rsid w:val="00273E31"/>
    <w:rsid w:val="00274E20"/>
    <w:rsid w:val="00275506"/>
    <w:rsid w:val="00276117"/>
    <w:rsid w:val="00276440"/>
    <w:rsid w:val="0027727C"/>
    <w:rsid w:val="00277544"/>
    <w:rsid w:val="00277FC2"/>
    <w:rsid w:val="002801E5"/>
    <w:rsid w:val="00280CF3"/>
    <w:rsid w:val="0028128C"/>
    <w:rsid w:val="00281E32"/>
    <w:rsid w:val="00282234"/>
    <w:rsid w:val="00282773"/>
    <w:rsid w:val="00282B15"/>
    <w:rsid w:val="00282D43"/>
    <w:rsid w:val="0028313D"/>
    <w:rsid w:val="002832BD"/>
    <w:rsid w:val="002833BA"/>
    <w:rsid w:val="00283E50"/>
    <w:rsid w:val="0028411B"/>
    <w:rsid w:val="00284879"/>
    <w:rsid w:val="00284ED7"/>
    <w:rsid w:val="002850AE"/>
    <w:rsid w:val="0028523F"/>
    <w:rsid w:val="00285F41"/>
    <w:rsid w:val="002860B9"/>
    <w:rsid w:val="00286662"/>
    <w:rsid w:val="002869F6"/>
    <w:rsid w:val="002877DF"/>
    <w:rsid w:val="00287B29"/>
    <w:rsid w:val="0029051B"/>
    <w:rsid w:val="00290BF0"/>
    <w:rsid w:val="00290D3B"/>
    <w:rsid w:val="00291D26"/>
    <w:rsid w:val="00291FFD"/>
    <w:rsid w:val="002927CC"/>
    <w:rsid w:val="002934DB"/>
    <w:rsid w:val="00293737"/>
    <w:rsid w:val="00294654"/>
    <w:rsid w:val="00294B49"/>
    <w:rsid w:val="00294B74"/>
    <w:rsid w:val="00294CF8"/>
    <w:rsid w:val="00295010"/>
    <w:rsid w:val="0029564D"/>
    <w:rsid w:val="00295CFD"/>
    <w:rsid w:val="002961D7"/>
    <w:rsid w:val="00296899"/>
    <w:rsid w:val="002970AB"/>
    <w:rsid w:val="002A02E1"/>
    <w:rsid w:val="002A04D4"/>
    <w:rsid w:val="002A07C8"/>
    <w:rsid w:val="002A09B4"/>
    <w:rsid w:val="002A0D00"/>
    <w:rsid w:val="002A13EF"/>
    <w:rsid w:val="002A15A8"/>
    <w:rsid w:val="002A16E9"/>
    <w:rsid w:val="002A1CFD"/>
    <w:rsid w:val="002A2133"/>
    <w:rsid w:val="002A31C0"/>
    <w:rsid w:val="002A3D71"/>
    <w:rsid w:val="002A4376"/>
    <w:rsid w:val="002A4738"/>
    <w:rsid w:val="002A4B87"/>
    <w:rsid w:val="002A5512"/>
    <w:rsid w:val="002A61DD"/>
    <w:rsid w:val="002A6550"/>
    <w:rsid w:val="002A6AEC"/>
    <w:rsid w:val="002A6E0E"/>
    <w:rsid w:val="002A799D"/>
    <w:rsid w:val="002B06D9"/>
    <w:rsid w:val="002B2411"/>
    <w:rsid w:val="002B2DA8"/>
    <w:rsid w:val="002B3087"/>
    <w:rsid w:val="002B391E"/>
    <w:rsid w:val="002B3CF2"/>
    <w:rsid w:val="002B3DE4"/>
    <w:rsid w:val="002B587A"/>
    <w:rsid w:val="002B5AF5"/>
    <w:rsid w:val="002B5E3D"/>
    <w:rsid w:val="002B6314"/>
    <w:rsid w:val="002B6378"/>
    <w:rsid w:val="002B6735"/>
    <w:rsid w:val="002B6F65"/>
    <w:rsid w:val="002B7E41"/>
    <w:rsid w:val="002B7FC6"/>
    <w:rsid w:val="002C064A"/>
    <w:rsid w:val="002C0E1A"/>
    <w:rsid w:val="002C188F"/>
    <w:rsid w:val="002C211C"/>
    <w:rsid w:val="002C22FE"/>
    <w:rsid w:val="002C29FA"/>
    <w:rsid w:val="002C33CB"/>
    <w:rsid w:val="002C4FC0"/>
    <w:rsid w:val="002C531B"/>
    <w:rsid w:val="002C5684"/>
    <w:rsid w:val="002C56A2"/>
    <w:rsid w:val="002C62E3"/>
    <w:rsid w:val="002C666A"/>
    <w:rsid w:val="002C6BEE"/>
    <w:rsid w:val="002C7363"/>
    <w:rsid w:val="002D0326"/>
    <w:rsid w:val="002D0561"/>
    <w:rsid w:val="002D140E"/>
    <w:rsid w:val="002D147B"/>
    <w:rsid w:val="002D1944"/>
    <w:rsid w:val="002D1AE1"/>
    <w:rsid w:val="002D1C44"/>
    <w:rsid w:val="002D2445"/>
    <w:rsid w:val="002D247D"/>
    <w:rsid w:val="002D25B0"/>
    <w:rsid w:val="002D25F0"/>
    <w:rsid w:val="002D30CC"/>
    <w:rsid w:val="002D34FC"/>
    <w:rsid w:val="002D3730"/>
    <w:rsid w:val="002D3779"/>
    <w:rsid w:val="002D3E5A"/>
    <w:rsid w:val="002D3E63"/>
    <w:rsid w:val="002D4366"/>
    <w:rsid w:val="002D447B"/>
    <w:rsid w:val="002D4B41"/>
    <w:rsid w:val="002D5A28"/>
    <w:rsid w:val="002D619D"/>
    <w:rsid w:val="002D6DCF"/>
    <w:rsid w:val="002D7603"/>
    <w:rsid w:val="002D7974"/>
    <w:rsid w:val="002E0515"/>
    <w:rsid w:val="002E1218"/>
    <w:rsid w:val="002E150C"/>
    <w:rsid w:val="002E1D06"/>
    <w:rsid w:val="002E1E6E"/>
    <w:rsid w:val="002E2635"/>
    <w:rsid w:val="002E2986"/>
    <w:rsid w:val="002E3397"/>
    <w:rsid w:val="002E3963"/>
    <w:rsid w:val="002E435B"/>
    <w:rsid w:val="002E4789"/>
    <w:rsid w:val="002E47B0"/>
    <w:rsid w:val="002E4BF8"/>
    <w:rsid w:val="002E7AD3"/>
    <w:rsid w:val="002E7E56"/>
    <w:rsid w:val="002F0396"/>
    <w:rsid w:val="002F0C3B"/>
    <w:rsid w:val="002F0FB9"/>
    <w:rsid w:val="002F13FF"/>
    <w:rsid w:val="002F1441"/>
    <w:rsid w:val="002F16AF"/>
    <w:rsid w:val="002F1CE0"/>
    <w:rsid w:val="002F2733"/>
    <w:rsid w:val="002F2959"/>
    <w:rsid w:val="002F330D"/>
    <w:rsid w:val="002F3BB9"/>
    <w:rsid w:val="002F3F6E"/>
    <w:rsid w:val="002F42F6"/>
    <w:rsid w:val="002F43FB"/>
    <w:rsid w:val="002F4407"/>
    <w:rsid w:val="002F46DA"/>
    <w:rsid w:val="002F4C45"/>
    <w:rsid w:val="002F6479"/>
    <w:rsid w:val="002F6655"/>
    <w:rsid w:val="002F67A9"/>
    <w:rsid w:val="002F6AFE"/>
    <w:rsid w:val="002F6FFB"/>
    <w:rsid w:val="002F727D"/>
    <w:rsid w:val="002F735C"/>
    <w:rsid w:val="002F76D8"/>
    <w:rsid w:val="002F7C05"/>
    <w:rsid w:val="002F7EBC"/>
    <w:rsid w:val="0030010B"/>
    <w:rsid w:val="003006DA"/>
    <w:rsid w:val="00300DCA"/>
    <w:rsid w:val="00300F1B"/>
    <w:rsid w:val="00301506"/>
    <w:rsid w:val="00301F0F"/>
    <w:rsid w:val="003025B2"/>
    <w:rsid w:val="00302610"/>
    <w:rsid w:val="0030274A"/>
    <w:rsid w:val="00302B1C"/>
    <w:rsid w:val="00302E5C"/>
    <w:rsid w:val="00303232"/>
    <w:rsid w:val="003035F5"/>
    <w:rsid w:val="00303717"/>
    <w:rsid w:val="003046A6"/>
    <w:rsid w:val="00304A72"/>
    <w:rsid w:val="003051AE"/>
    <w:rsid w:val="003051BF"/>
    <w:rsid w:val="00305DD3"/>
    <w:rsid w:val="00305DE8"/>
    <w:rsid w:val="0030602D"/>
    <w:rsid w:val="0030624F"/>
    <w:rsid w:val="00306267"/>
    <w:rsid w:val="00306539"/>
    <w:rsid w:val="003070C2"/>
    <w:rsid w:val="00307EB5"/>
    <w:rsid w:val="00307EE2"/>
    <w:rsid w:val="0031024C"/>
    <w:rsid w:val="003104D2"/>
    <w:rsid w:val="003107EE"/>
    <w:rsid w:val="003108DC"/>
    <w:rsid w:val="00310924"/>
    <w:rsid w:val="00310C37"/>
    <w:rsid w:val="0031127A"/>
    <w:rsid w:val="003116CC"/>
    <w:rsid w:val="00311B02"/>
    <w:rsid w:val="003129BE"/>
    <w:rsid w:val="00312DE0"/>
    <w:rsid w:val="0031303F"/>
    <w:rsid w:val="00313041"/>
    <w:rsid w:val="00313462"/>
    <w:rsid w:val="00313EEA"/>
    <w:rsid w:val="00314138"/>
    <w:rsid w:val="00314D0C"/>
    <w:rsid w:val="00315162"/>
    <w:rsid w:val="00315655"/>
    <w:rsid w:val="00316A14"/>
    <w:rsid w:val="00317600"/>
    <w:rsid w:val="003203BF"/>
    <w:rsid w:val="003204FF"/>
    <w:rsid w:val="003207EB"/>
    <w:rsid w:val="00320C4B"/>
    <w:rsid w:val="00320CB7"/>
    <w:rsid w:val="00321EF1"/>
    <w:rsid w:val="0032218B"/>
    <w:rsid w:val="00322277"/>
    <w:rsid w:val="00322616"/>
    <w:rsid w:val="00322872"/>
    <w:rsid w:val="003228FB"/>
    <w:rsid w:val="00322AA4"/>
    <w:rsid w:val="00322AB8"/>
    <w:rsid w:val="00322FC4"/>
    <w:rsid w:val="00324F19"/>
    <w:rsid w:val="00324F7B"/>
    <w:rsid w:val="00325503"/>
    <w:rsid w:val="00325521"/>
    <w:rsid w:val="00325965"/>
    <w:rsid w:val="00325F80"/>
    <w:rsid w:val="00326557"/>
    <w:rsid w:val="0032685D"/>
    <w:rsid w:val="00326A69"/>
    <w:rsid w:val="00327938"/>
    <w:rsid w:val="00327C4C"/>
    <w:rsid w:val="00327D6C"/>
    <w:rsid w:val="00327F9B"/>
    <w:rsid w:val="00330246"/>
    <w:rsid w:val="003302CC"/>
    <w:rsid w:val="003308BF"/>
    <w:rsid w:val="003310CD"/>
    <w:rsid w:val="00331743"/>
    <w:rsid w:val="00331C08"/>
    <w:rsid w:val="00331ED5"/>
    <w:rsid w:val="00331F92"/>
    <w:rsid w:val="003323FD"/>
    <w:rsid w:val="003327D7"/>
    <w:rsid w:val="0033343F"/>
    <w:rsid w:val="0033489D"/>
    <w:rsid w:val="00335059"/>
    <w:rsid w:val="00336008"/>
    <w:rsid w:val="00336183"/>
    <w:rsid w:val="0033638E"/>
    <w:rsid w:val="00336CAC"/>
    <w:rsid w:val="003371E8"/>
    <w:rsid w:val="00337D59"/>
    <w:rsid w:val="0034026B"/>
    <w:rsid w:val="0034047F"/>
    <w:rsid w:val="00340C7B"/>
    <w:rsid w:val="003415B1"/>
    <w:rsid w:val="00342238"/>
    <w:rsid w:val="00342C79"/>
    <w:rsid w:val="00342CE8"/>
    <w:rsid w:val="00342F63"/>
    <w:rsid w:val="00343195"/>
    <w:rsid w:val="00343DA2"/>
    <w:rsid w:val="00343DAD"/>
    <w:rsid w:val="00343E9E"/>
    <w:rsid w:val="00343F47"/>
    <w:rsid w:val="0034449D"/>
    <w:rsid w:val="003444A6"/>
    <w:rsid w:val="00344972"/>
    <w:rsid w:val="00344AC9"/>
    <w:rsid w:val="00344E24"/>
    <w:rsid w:val="00344E31"/>
    <w:rsid w:val="00344E97"/>
    <w:rsid w:val="00345279"/>
    <w:rsid w:val="003466E5"/>
    <w:rsid w:val="00346766"/>
    <w:rsid w:val="0034687E"/>
    <w:rsid w:val="00346939"/>
    <w:rsid w:val="003469D5"/>
    <w:rsid w:val="00346C89"/>
    <w:rsid w:val="00346E70"/>
    <w:rsid w:val="003472E0"/>
    <w:rsid w:val="00347415"/>
    <w:rsid w:val="0034771A"/>
    <w:rsid w:val="00347E60"/>
    <w:rsid w:val="003504DF"/>
    <w:rsid w:val="003505BF"/>
    <w:rsid w:val="00350DED"/>
    <w:rsid w:val="00350FA6"/>
    <w:rsid w:val="00351FF1"/>
    <w:rsid w:val="00352994"/>
    <w:rsid w:val="0035347B"/>
    <w:rsid w:val="003540F1"/>
    <w:rsid w:val="00354500"/>
    <w:rsid w:val="00354C80"/>
    <w:rsid w:val="00355309"/>
    <w:rsid w:val="003555FB"/>
    <w:rsid w:val="00356580"/>
    <w:rsid w:val="003573B3"/>
    <w:rsid w:val="003575A6"/>
    <w:rsid w:val="00357D95"/>
    <w:rsid w:val="00360A00"/>
    <w:rsid w:val="00360F53"/>
    <w:rsid w:val="0036130E"/>
    <w:rsid w:val="003614F0"/>
    <w:rsid w:val="003619AD"/>
    <w:rsid w:val="00361D2A"/>
    <w:rsid w:val="003624BA"/>
    <w:rsid w:val="003625E7"/>
    <w:rsid w:val="00363517"/>
    <w:rsid w:val="00363648"/>
    <w:rsid w:val="00363731"/>
    <w:rsid w:val="0036405A"/>
    <w:rsid w:val="00364395"/>
    <w:rsid w:val="00365D43"/>
    <w:rsid w:val="00366335"/>
    <w:rsid w:val="003667F9"/>
    <w:rsid w:val="00366C0E"/>
    <w:rsid w:val="00366CBF"/>
    <w:rsid w:val="00367AA1"/>
    <w:rsid w:val="00367E34"/>
    <w:rsid w:val="00370ABE"/>
    <w:rsid w:val="00371574"/>
    <w:rsid w:val="00371583"/>
    <w:rsid w:val="00371CCE"/>
    <w:rsid w:val="00372983"/>
    <w:rsid w:val="00373B6C"/>
    <w:rsid w:val="00373C24"/>
    <w:rsid w:val="00373D80"/>
    <w:rsid w:val="00374537"/>
    <w:rsid w:val="00374D01"/>
    <w:rsid w:val="003754D4"/>
    <w:rsid w:val="00375529"/>
    <w:rsid w:val="00375A59"/>
    <w:rsid w:val="00375D54"/>
    <w:rsid w:val="00375DC8"/>
    <w:rsid w:val="00377162"/>
    <w:rsid w:val="0037727A"/>
    <w:rsid w:val="003773DC"/>
    <w:rsid w:val="003779A9"/>
    <w:rsid w:val="00377BA8"/>
    <w:rsid w:val="00377EF3"/>
    <w:rsid w:val="003800BE"/>
    <w:rsid w:val="00380189"/>
    <w:rsid w:val="003805F8"/>
    <w:rsid w:val="00380730"/>
    <w:rsid w:val="00380B4D"/>
    <w:rsid w:val="00380F89"/>
    <w:rsid w:val="00381DF2"/>
    <w:rsid w:val="0038237C"/>
    <w:rsid w:val="0038245A"/>
    <w:rsid w:val="00383A47"/>
    <w:rsid w:val="00383AD6"/>
    <w:rsid w:val="00383B2B"/>
    <w:rsid w:val="003854E7"/>
    <w:rsid w:val="00385792"/>
    <w:rsid w:val="00386882"/>
    <w:rsid w:val="0038692C"/>
    <w:rsid w:val="00386B30"/>
    <w:rsid w:val="0038780C"/>
    <w:rsid w:val="00390695"/>
    <w:rsid w:val="00391050"/>
    <w:rsid w:val="003919E0"/>
    <w:rsid w:val="00392AFA"/>
    <w:rsid w:val="00393168"/>
    <w:rsid w:val="0039381F"/>
    <w:rsid w:val="00393825"/>
    <w:rsid w:val="00393827"/>
    <w:rsid w:val="003939CF"/>
    <w:rsid w:val="00393A30"/>
    <w:rsid w:val="003940EB"/>
    <w:rsid w:val="00394505"/>
    <w:rsid w:val="00394540"/>
    <w:rsid w:val="00395707"/>
    <w:rsid w:val="003959DE"/>
    <w:rsid w:val="00395A48"/>
    <w:rsid w:val="00395C13"/>
    <w:rsid w:val="00396116"/>
    <w:rsid w:val="0039615D"/>
    <w:rsid w:val="00396332"/>
    <w:rsid w:val="00396549"/>
    <w:rsid w:val="00396A53"/>
    <w:rsid w:val="003974DB"/>
    <w:rsid w:val="003A138D"/>
    <w:rsid w:val="003A1D26"/>
    <w:rsid w:val="003A21EB"/>
    <w:rsid w:val="003A2AD6"/>
    <w:rsid w:val="003A2D37"/>
    <w:rsid w:val="003A30E7"/>
    <w:rsid w:val="003A32BF"/>
    <w:rsid w:val="003A331E"/>
    <w:rsid w:val="003A407A"/>
    <w:rsid w:val="003A4800"/>
    <w:rsid w:val="003A4F9E"/>
    <w:rsid w:val="003A5266"/>
    <w:rsid w:val="003A581E"/>
    <w:rsid w:val="003A5C16"/>
    <w:rsid w:val="003A5D9D"/>
    <w:rsid w:val="003A6080"/>
    <w:rsid w:val="003A64D1"/>
    <w:rsid w:val="003A6509"/>
    <w:rsid w:val="003A6C63"/>
    <w:rsid w:val="003A6D61"/>
    <w:rsid w:val="003A7162"/>
    <w:rsid w:val="003A7BC4"/>
    <w:rsid w:val="003B0342"/>
    <w:rsid w:val="003B0A6D"/>
    <w:rsid w:val="003B0D73"/>
    <w:rsid w:val="003B0EB2"/>
    <w:rsid w:val="003B1788"/>
    <w:rsid w:val="003B2202"/>
    <w:rsid w:val="003B258C"/>
    <w:rsid w:val="003B2B30"/>
    <w:rsid w:val="003B3147"/>
    <w:rsid w:val="003B3582"/>
    <w:rsid w:val="003B373A"/>
    <w:rsid w:val="003B3D9F"/>
    <w:rsid w:val="003B3DFD"/>
    <w:rsid w:val="003B468E"/>
    <w:rsid w:val="003B4B4D"/>
    <w:rsid w:val="003B4D51"/>
    <w:rsid w:val="003B52A4"/>
    <w:rsid w:val="003B5473"/>
    <w:rsid w:val="003B5A36"/>
    <w:rsid w:val="003B5E0B"/>
    <w:rsid w:val="003B65F2"/>
    <w:rsid w:val="003B715A"/>
    <w:rsid w:val="003B7290"/>
    <w:rsid w:val="003B79FB"/>
    <w:rsid w:val="003B7A7E"/>
    <w:rsid w:val="003B7F80"/>
    <w:rsid w:val="003C0759"/>
    <w:rsid w:val="003C08F4"/>
    <w:rsid w:val="003C0DCD"/>
    <w:rsid w:val="003C1537"/>
    <w:rsid w:val="003C18BA"/>
    <w:rsid w:val="003C2267"/>
    <w:rsid w:val="003C25A7"/>
    <w:rsid w:val="003C2B66"/>
    <w:rsid w:val="003C2FEB"/>
    <w:rsid w:val="003C3013"/>
    <w:rsid w:val="003C403D"/>
    <w:rsid w:val="003C40BD"/>
    <w:rsid w:val="003C47F6"/>
    <w:rsid w:val="003C4882"/>
    <w:rsid w:val="003C4B80"/>
    <w:rsid w:val="003C4C06"/>
    <w:rsid w:val="003C5085"/>
    <w:rsid w:val="003C556D"/>
    <w:rsid w:val="003C5793"/>
    <w:rsid w:val="003C5C9D"/>
    <w:rsid w:val="003C5DDE"/>
    <w:rsid w:val="003C5E94"/>
    <w:rsid w:val="003C61E3"/>
    <w:rsid w:val="003C662B"/>
    <w:rsid w:val="003C664D"/>
    <w:rsid w:val="003C7196"/>
    <w:rsid w:val="003C720E"/>
    <w:rsid w:val="003C7D0D"/>
    <w:rsid w:val="003C7D42"/>
    <w:rsid w:val="003C7F0F"/>
    <w:rsid w:val="003D0282"/>
    <w:rsid w:val="003D15A5"/>
    <w:rsid w:val="003D3360"/>
    <w:rsid w:val="003D4109"/>
    <w:rsid w:val="003D4B7F"/>
    <w:rsid w:val="003D4CE9"/>
    <w:rsid w:val="003D4EC1"/>
    <w:rsid w:val="003D4FA2"/>
    <w:rsid w:val="003D5473"/>
    <w:rsid w:val="003D58C1"/>
    <w:rsid w:val="003D615A"/>
    <w:rsid w:val="003D66C8"/>
    <w:rsid w:val="003D6841"/>
    <w:rsid w:val="003D699E"/>
    <w:rsid w:val="003D7170"/>
    <w:rsid w:val="003D7CBB"/>
    <w:rsid w:val="003D7D20"/>
    <w:rsid w:val="003E0347"/>
    <w:rsid w:val="003E07FF"/>
    <w:rsid w:val="003E0E51"/>
    <w:rsid w:val="003E0FD5"/>
    <w:rsid w:val="003E0FED"/>
    <w:rsid w:val="003E1951"/>
    <w:rsid w:val="003E1C49"/>
    <w:rsid w:val="003E1DD6"/>
    <w:rsid w:val="003E2445"/>
    <w:rsid w:val="003E3420"/>
    <w:rsid w:val="003E3E44"/>
    <w:rsid w:val="003E3F8C"/>
    <w:rsid w:val="003E433B"/>
    <w:rsid w:val="003E4AB0"/>
    <w:rsid w:val="003E4F81"/>
    <w:rsid w:val="003E5942"/>
    <w:rsid w:val="003E5D8B"/>
    <w:rsid w:val="003E5F02"/>
    <w:rsid w:val="003E641D"/>
    <w:rsid w:val="003E7D63"/>
    <w:rsid w:val="003E7F4B"/>
    <w:rsid w:val="003F0E16"/>
    <w:rsid w:val="003F0F42"/>
    <w:rsid w:val="003F1768"/>
    <w:rsid w:val="003F2258"/>
    <w:rsid w:val="003F2A2D"/>
    <w:rsid w:val="003F309F"/>
    <w:rsid w:val="003F3D52"/>
    <w:rsid w:val="003F4313"/>
    <w:rsid w:val="003F44D0"/>
    <w:rsid w:val="003F4C7C"/>
    <w:rsid w:val="003F4DF4"/>
    <w:rsid w:val="003F5263"/>
    <w:rsid w:val="003F52B7"/>
    <w:rsid w:val="003F5875"/>
    <w:rsid w:val="003F5A0F"/>
    <w:rsid w:val="003F5CF1"/>
    <w:rsid w:val="003F63E9"/>
    <w:rsid w:val="003F6993"/>
    <w:rsid w:val="003F71F9"/>
    <w:rsid w:val="003F72AA"/>
    <w:rsid w:val="003F79FB"/>
    <w:rsid w:val="003F7A42"/>
    <w:rsid w:val="0040042A"/>
    <w:rsid w:val="0040179B"/>
    <w:rsid w:val="00401ADD"/>
    <w:rsid w:val="004024D3"/>
    <w:rsid w:val="0040283D"/>
    <w:rsid w:val="00402C94"/>
    <w:rsid w:val="00402F96"/>
    <w:rsid w:val="004030B1"/>
    <w:rsid w:val="00403341"/>
    <w:rsid w:val="004040A3"/>
    <w:rsid w:val="00404661"/>
    <w:rsid w:val="00404927"/>
    <w:rsid w:val="00404974"/>
    <w:rsid w:val="0040559D"/>
    <w:rsid w:val="004055EB"/>
    <w:rsid w:val="00405791"/>
    <w:rsid w:val="00407088"/>
    <w:rsid w:val="004074F2"/>
    <w:rsid w:val="00410978"/>
    <w:rsid w:val="004111B9"/>
    <w:rsid w:val="004112B3"/>
    <w:rsid w:val="00411474"/>
    <w:rsid w:val="00411859"/>
    <w:rsid w:val="004120D5"/>
    <w:rsid w:val="0041226A"/>
    <w:rsid w:val="00413483"/>
    <w:rsid w:val="00413BB6"/>
    <w:rsid w:val="00415172"/>
    <w:rsid w:val="004157F4"/>
    <w:rsid w:val="00415D7F"/>
    <w:rsid w:val="00416770"/>
    <w:rsid w:val="00416833"/>
    <w:rsid w:val="00416E61"/>
    <w:rsid w:val="0041716D"/>
    <w:rsid w:val="004200A2"/>
    <w:rsid w:val="004202E1"/>
    <w:rsid w:val="004206F6"/>
    <w:rsid w:val="0042094D"/>
    <w:rsid w:val="004209B3"/>
    <w:rsid w:val="00421089"/>
    <w:rsid w:val="00422146"/>
    <w:rsid w:val="00422188"/>
    <w:rsid w:val="004225B1"/>
    <w:rsid w:val="00424431"/>
    <w:rsid w:val="004247B6"/>
    <w:rsid w:val="00424E8F"/>
    <w:rsid w:val="004250BB"/>
    <w:rsid w:val="0042531F"/>
    <w:rsid w:val="00425AA7"/>
    <w:rsid w:val="004265BE"/>
    <w:rsid w:val="00427F17"/>
    <w:rsid w:val="004300D4"/>
    <w:rsid w:val="004301D4"/>
    <w:rsid w:val="00430342"/>
    <w:rsid w:val="00430CEA"/>
    <w:rsid w:val="00430D1D"/>
    <w:rsid w:val="004312AC"/>
    <w:rsid w:val="004323C1"/>
    <w:rsid w:val="00432431"/>
    <w:rsid w:val="00432DBE"/>
    <w:rsid w:val="00433462"/>
    <w:rsid w:val="004334E4"/>
    <w:rsid w:val="00433783"/>
    <w:rsid w:val="00434C87"/>
    <w:rsid w:val="00434F26"/>
    <w:rsid w:val="004351DF"/>
    <w:rsid w:val="004353C2"/>
    <w:rsid w:val="004354B0"/>
    <w:rsid w:val="00435667"/>
    <w:rsid w:val="00435F24"/>
    <w:rsid w:val="00436129"/>
    <w:rsid w:val="00436293"/>
    <w:rsid w:val="00436A46"/>
    <w:rsid w:val="00436C8B"/>
    <w:rsid w:val="00436F88"/>
    <w:rsid w:val="004375E5"/>
    <w:rsid w:val="00437B5D"/>
    <w:rsid w:val="0044025B"/>
    <w:rsid w:val="00440A09"/>
    <w:rsid w:val="0044119C"/>
    <w:rsid w:val="004420BF"/>
    <w:rsid w:val="00442821"/>
    <w:rsid w:val="00443266"/>
    <w:rsid w:val="00443278"/>
    <w:rsid w:val="004441C5"/>
    <w:rsid w:val="00444A41"/>
    <w:rsid w:val="00444E36"/>
    <w:rsid w:val="00445317"/>
    <w:rsid w:val="0044534D"/>
    <w:rsid w:val="00445794"/>
    <w:rsid w:val="004457F0"/>
    <w:rsid w:val="00445C4F"/>
    <w:rsid w:val="00445D39"/>
    <w:rsid w:val="004473E7"/>
    <w:rsid w:val="004477F2"/>
    <w:rsid w:val="00447F08"/>
    <w:rsid w:val="00450877"/>
    <w:rsid w:val="00450A71"/>
    <w:rsid w:val="00451ABE"/>
    <w:rsid w:val="00454304"/>
    <w:rsid w:val="0045456C"/>
    <w:rsid w:val="00456F7F"/>
    <w:rsid w:val="004577D2"/>
    <w:rsid w:val="00457BEF"/>
    <w:rsid w:val="00457DD6"/>
    <w:rsid w:val="004609A8"/>
    <w:rsid w:val="004614E6"/>
    <w:rsid w:val="004615DA"/>
    <w:rsid w:val="00461774"/>
    <w:rsid w:val="00461DE6"/>
    <w:rsid w:val="00461F5C"/>
    <w:rsid w:val="00463B9C"/>
    <w:rsid w:val="004640BF"/>
    <w:rsid w:val="004645B7"/>
    <w:rsid w:val="00465064"/>
    <w:rsid w:val="00465430"/>
    <w:rsid w:val="004659F3"/>
    <w:rsid w:val="0046654F"/>
    <w:rsid w:val="004665A8"/>
    <w:rsid w:val="004665C0"/>
    <w:rsid w:val="004675F1"/>
    <w:rsid w:val="00467862"/>
    <w:rsid w:val="004679D6"/>
    <w:rsid w:val="00467A44"/>
    <w:rsid w:val="00467D01"/>
    <w:rsid w:val="00470DAC"/>
    <w:rsid w:val="00470E5A"/>
    <w:rsid w:val="004714F2"/>
    <w:rsid w:val="00471636"/>
    <w:rsid w:val="004718A1"/>
    <w:rsid w:val="004720EF"/>
    <w:rsid w:val="0047275A"/>
    <w:rsid w:val="00472FE7"/>
    <w:rsid w:val="004734A3"/>
    <w:rsid w:val="0047378E"/>
    <w:rsid w:val="00474AE1"/>
    <w:rsid w:val="00475593"/>
    <w:rsid w:val="0047674D"/>
    <w:rsid w:val="0047686B"/>
    <w:rsid w:val="00476C8A"/>
    <w:rsid w:val="00477074"/>
    <w:rsid w:val="004773F5"/>
    <w:rsid w:val="00477B4F"/>
    <w:rsid w:val="00477E2D"/>
    <w:rsid w:val="004802DB"/>
    <w:rsid w:val="0048081C"/>
    <w:rsid w:val="004811F4"/>
    <w:rsid w:val="004817D2"/>
    <w:rsid w:val="00481F4C"/>
    <w:rsid w:val="00482450"/>
    <w:rsid w:val="004825BC"/>
    <w:rsid w:val="00482869"/>
    <w:rsid w:val="004828FF"/>
    <w:rsid w:val="004829D0"/>
    <w:rsid w:val="00482A46"/>
    <w:rsid w:val="00483423"/>
    <w:rsid w:val="00483BAD"/>
    <w:rsid w:val="00484B0E"/>
    <w:rsid w:val="004853AF"/>
    <w:rsid w:val="004857AE"/>
    <w:rsid w:val="00485824"/>
    <w:rsid w:val="00485A04"/>
    <w:rsid w:val="00486367"/>
    <w:rsid w:val="004863AC"/>
    <w:rsid w:val="00486816"/>
    <w:rsid w:val="0048745B"/>
    <w:rsid w:val="00487760"/>
    <w:rsid w:val="004877EF"/>
    <w:rsid w:val="00487CBC"/>
    <w:rsid w:val="00487EE9"/>
    <w:rsid w:val="00491B3F"/>
    <w:rsid w:val="00491D96"/>
    <w:rsid w:val="00491D97"/>
    <w:rsid w:val="004923E5"/>
    <w:rsid w:val="004927C6"/>
    <w:rsid w:val="00494231"/>
    <w:rsid w:val="00494D4F"/>
    <w:rsid w:val="00494E85"/>
    <w:rsid w:val="00494F5F"/>
    <w:rsid w:val="00495195"/>
    <w:rsid w:val="0049537E"/>
    <w:rsid w:val="00495CD0"/>
    <w:rsid w:val="004960CB"/>
    <w:rsid w:val="00496310"/>
    <w:rsid w:val="004966B3"/>
    <w:rsid w:val="0049693C"/>
    <w:rsid w:val="004969C5"/>
    <w:rsid w:val="004971D8"/>
    <w:rsid w:val="004975B9"/>
    <w:rsid w:val="00497D31"/>
    <w:rsid w:val="004A0690"/>
    <w:rsid w:val="004A0732"/>
    <w:rsid w:val="004A0885"/>
    <w:rsid w:val="004A0B52"/>
    <w:rsid w:val="004A0C7C"/>
    <w:rsid w:val="004A1274"/>
    <w:rsid w:val="004A1783"/>
    <w:rsid w:val="004A2152"/>
    <w:rsid w:val="004A2913"/>
    <w:rsid w:val="004A2937"/>
    <w:rsid w:val="004A2CDA"/>
    <w:rsid w:val="004A2D98"/>
    <w:rsid w:val="004A38B5"/>
    <w:rsid w:val="004A3F57"/>
    <w:rsid w:val="004A414F"/>
    <w:rsid w:val="004A41D6"/>
    <w:rsid w:val="004A4366"/>
    <w:rsid w:val="004A469C"/>
    <w:rsid w:val="004A46C2"/>
    <w:rsid w:val="004A47D0"/>
    <w:rsid w:val="004A4A4A"/>
    <w:rsid w:val="004A4B58"/>
    <w:rsid w:val="004A56A4"/>
    <w:rsid w:val="004A5D10"/>
    <w:rsid w:val="004A5F51"/>
    <w:rsid w:val="004A604F"/>
    <w:rsid w:val="004A6A12"/>
    <w:rsid w:val="004A6BCC"/>
    <w:rsid w:val="004B002D"/>
    <w:rsid w:val="004B0AE7"/>
    <w:rsid w:val="004B0C60"/>
    <w:rsid w:val="004B1B19"/>
    <w:rsid w:val="004B1D37"/>
    <w:rsid w:val="004B2628"/>
    <w:rsid w:val="004B31FC"/>
    <w:rsid w:val="004B3230"/>
    <w:rsid w:val="004B43F9"/>
    <w:rsid w:val="004B44A9"/>
    <w:rsid w:val="004B4A70"/>
    <w:rsid w:val="004B4B27"/>
    <w:rsid w:val="004B4B64"/>
    <w:rsid w:val="004B4F4A"/>
    <w:rsid w:val="004B5021"/>
    <w:rsid w:val="004B612C"/>
    <w:rsid w:val="004B6497"/>
    <w:rsid w:val="004B6588"/>
    <w:rsid w:val="004B65FB"/>
    <w:rsid w:val="004B66E7"/>
    <w:rsid w:val="004B6D9B"/>
    <w:rsid w:val="004B7297"/>
    <w:rsid w:val="004B7541"/>
    <w:rsid w:val="004C084E"/>
    <w:rsid w:val="004C15F6"/>
    <w:rsid w:val="004C1710"/>
    <w:rsid w:val="004C2053"/>
    <w:rsid w:val="004C20B3"/>
    <w:rsid w:val="004C20F7"/>
    <w:rsid w:val="004C24AB"/>
    <w:rsid w:val="004C2694"/>
    <w:rsid w:val="004C28B6"/>
    <w:rsid w:val="004C35A2"/>
    <w:rsid w:val="004C3DDE"/>
    <w:rsid w:val="004C43B8"/>
    <w:rsid w:val="004C4735"/>
    <w:rsid w:val="004C4E81"/>
    <w:rsid w:val="004C7176"/>
    <w:rsid w:val="004C74C0"/>
    <w:rsid w:val="004C7ECF"/>
    <w:rsid w:val="004D0BE6"/>
    <w:rsid w:val="004D0DC9"/>
    <w:rsid w:val="004D1623"/>
    <w:rsid w:val="004D1A22"/>
    <w:rsid w:val="004D2FD0"/>
    <w:rsid w:val="004D322A"/>
    <w:rsid w:val="004D382D"/>
    <w:rsid w:val="004D3DB2"/>
    <w:rsid w:val="004D3F0C"/>
    <w:rsid w:val="004D3F8D"/>
    <w:rsid w:val="004D53AD"/>
    <w:rsid w:val="004D5BDA"/>
    <w:rsid w:val="004D6128"/>
    <w:rsid w:val="004D698C"/>
    <w:rsid w:val="004D69C0"/>
    <w:rsid w:val="004D6E9B"/>
    <w:rsid w:val="004D720D"/>
    <w:rsid w:val="004D7CC7"/>
    <w:rsid w:val="004E1827"/>
    <w:rsid w:val="004E1FCF"/>
    <w:rsid w:val="004E22A1"/>
    <w:rsid w:val="004E22C4"/>
    <w:rsid w:val="004E29B7"/>
    <w:rsid w:val="004E2AFB"/>
    <w:rsid w:val="004E3428"/>
    <w:rsid w:val="004E345D"/>
    <w:rsid w:val="004E3BAE"/>
    <w:rsid w:val="004E3F50"/>
    <w:rsid w:val="004E4701"/>
    <w:rsid w:val="004E489A"/>
    <w:rsid w:val="004E4E22"/>
    <w:rsid w:val="004E5559"/>
    <w:rsid w:val="004E6422"/>
    <w:rsid w:val="004E6C63"/>
    <w:rsid w:val="004E6D7B"/>
    <w:rsid w:val="004E72E2"/>
    <w:rsid w:val="004E755F"/>
    <w:rsid w:val="004E7577"/>
    <w:rsid w:val="004E7E2F"/>
    <w:rsid w:val="004E7F20"/>
    <w:rsid w:val="004F033C"/>
    <w:rsid w:val="004F03C7"/>
    <w:rsid w:val="004F0AFA"/>
    <w:rsid w:val="004F0EC9"/>
    <w:rsid w:val="004F1307"/>
    <w:rsid w:val="004F1C44"/>
    <w:rsid w:val="004F230C"/>
    <w:rsid w:val="004F2453"/>
    <w:rsid w:val="004F2870"/>
    <w:rsid w:val="004F303E"/>
    <w:rsid w:val="004F305D"/>
    <w:rsid w:val="004F324E"/>
    <w:rsid w:val="004F3295"/>
    <w:rsid w:val="004F49A7"/>
    <w:rsid w:val="004F6E32"/>
    <w:rsid w:val="004F75F2"/>
    <w:rsid w:val="00500BAE"/>
    <w:rsid w:val="005010B3"/>
    <w:rsid w:val="0050159D"/>
    <w:rsid w:val="00501776"/>
    <w:rsid w:val="00501BD6"/>
    <w:rsid w:val="00501F14"/>
    <w:rsid w:val="005022CB"/>
    <w:rsid w:val="005025C8"/>
    <w:rsid w:val="00502686"/>
    <w:rsid w:val="00502941"/>
    <w:rsid w:val="00503308"/>
    <w:rsid w:val="00503459"/>
    <w:rsid w:val="005048CF"/>
    <w:rsid w:val="00504C2E"/>
    <w:rsid w:val="00505235"/>
    <w:rsid w:val="00505A8A"/>
    <w:rsid w:val="00505A8D"/>
    <w:rsid w:val="005060DA"/>
    <w:rsid w:val="0050639B"/>
    <w:rsid w:val="005068E1"/>
    <w:rsid w:val="0050696B"/>
    <w:rsid w:val="00506B76"/>
    <w:rsid w:val="00506CE1"/>
    <w:rsid w:val="005070C6"/>
    <w:rsid w:val="005101EE"/>
    <w:rsid w:val="00510576"/>
    <w:rsid w:val="00511E69"/>
    <w:rsid w:val="005121F1"/>
    <w:rsid w:val="00512737"/>
    <w:rsid w:val="00512BC8"/>
    <w:rsid w:val="00513415"/>
    <w:rsid w:val="0051370A"/>
    <w:rsid w:val="0051379A"/>
    <w:rsid w:val="00513977"/>
    <w:rsid w:val="00513E58"/>
    <w:rsid w:val="0051409C"/>
    <w:rsid w:val="0051533F"/>
    <w:rsid w:val="00515A1D"/>
    <w:rsid w:val="00515D57"/>
    <w:rsid w:val="00516C33"/>
    <w:rsid w:val="00516D7C"/>
    <w:rsid w:val="00517564"/>
    <w:rsid w:val="00517DD9"/>
    <w:rsid w:val="00517EBD"/>
    <w:rsid w:val="00517F00"/>
    <w:rsid w:val="0052068E"/>
    <w:rsid w:val="00520AD1"/>
    <w:rsid w:val="00520FD1"/>
    <w:rsid w:val="005218AC"/>
    <w:rsid w:val="00521CE7"/>
    <w:rsid w:val="005221A2"/>
    <w:rsid w:val="00523376"/>
    <w:rsid w:val="005238C2"/>
    <w:rsid w:val="00524395"/>
    <w:rsid w:val="00524450"/>
    <w:rsid w:val="005245E1"/>
    <w:rsid w:val="005247A3"/>
    <w:rsid w:val="00524A81"/>
    <w:rsid w:val="00525114"/>
    <w:rsid w:val="005266C9"/>
    <w:rsid w:val="00526CE5"/>
    <w:rsid w:val="00526EFB"/>
    <w:rsid w:val="0052761A"/>
    <w:rsid w:val="005276C9"/>
    <w:rsid w:val="00527784"/>
    <w:rsid w:val="00531CB8"/>
    <w:rsid w:val="0053261F"/>
    <w:rsid w:val="00532AE0"/>
    <w:rsid w:val="00532EF6"/>
    <w:rsid w:val="00533C16"/>
    <w:rsid w:val="00533EBD"/>
    <w:rsid w:val="005353BC"/>
    <w:rsid w:val="005356A7"/>
    <w:rsid w:val="00536C01"/>
    <w:rsid w:val="00540193"/>
    <w:rsid w:val="005407E2"/>
    <w:rsid w:val="00540C2F"/>
    <w:rsid w:val="00540DCC"/>
    <w:rsid w:val="0054172D"/>
    <w:rsid w:val="005419C8"/>
    <w:rsid w:val="00541D2F"/>
    <w:rsid w:val="00541ED6"/>
    <w:rsid w:val="00542092"/>
    <w:rsid w:val="00542DF2"/>
    <w:rsid w:val="00542F43"/>
    <w:rsid w:val="005433D4"/>
    <w:rsid w:val="005445ED"/>
    <w:rsid w:val="005449C2"/>
    <w:rsid w:val="00544E56"/>
    <w:rsid w:val="005457EB"/>
    <w:rsid w:val="00545C42"/>
    <w:rsid w:val="0054612F"/>
    <w:rsid w:val="0054613F"/>
    <w:rsid w:val="00546262"/>
    <w:rsid w:val="005467D4"/>
    <w:rsid w:val="00546949"/>
    <w:rsid w:val="00550841"/>
    <w:rsid w:val="00550FDB"/>
    <w:rsid w:val="00551F4B"/>
    <w:rsid w:val="005525B6"/>
    <w:rsid w:val="00552727"/>
    <w:rsid w:val="00552CD8"/>
    <w:rsid w:val="00552D27"/>
    <w:rsid w:val="005536BF"/>
    <w:rsid w:val="005537F7"/>
    <w:rsid w:val="00553900"/>
    <w:rsid w:val="00553AF2"/>
    <w:rsid w:val="0055478A"/>
    <w:rsid w:val="00555374"/>
    <w:rsid w:val="005556BE"/>
    <w:rsid w:val="00555A30"/>
    <w:rsid w:val="00555BF3"/>
    <w:rsid w:val="005564E1"/>
    <w:rsid w:val="005570A0"/>
    <w:rsid w:val="00557729"/>
    <w:rsid w:val="00557FA8"/>
    <w:rsid w:val="00560089"/>
    <w:rsid w:val="00560E67"/>
    <w:rsid w:val="00561103"/>
    <w:rsid w:val="00561239"/>
    <w:rsid w:val="00561E14"/>
    <w:rsid w:val="00561F25"/>
    <w:rsid w:val="005626F2"/>
    <w:rsid w:val="005633F8"/>
    <w:rsid w:val="00563494"/>
    <w:rsid w:val="005635C9"/>
    <w:rsid w:val="0056385B"/>
    <w:rsid w:val="005639C9"/>
    <w:rsid w:val="00564ACB"/>
    <w:rsid w:val="00564BFF"/>
    <w:rsid w:val="00565139"/>
    <w:rsid w:val="00565453"/>
    <w:rsid w:val="00565752"/>
    <w:rsid w:val="0056575B"/>
    <w:rsid w:val="0056598E"/>
    <w:rsid w:val="00566449"/>
    <w:rsid w:val="005664C5"/>
    <w:rsid w:val="00567863"/>
    <w:rsid w:val="0056795C"/>
    <w:rsid w:val="00567B0A"/>
    <w:rsid w:val="00570668"/>
    <w:rsid w:val="005709F7"/>
    <w:rsid w:val="00570B4F"/>
    <w:rsid w:val="00570CDD"/>
    <w:rsid w:val="0057123B"/>
    <w:rsid w:val="00571A67"/>
    <w:rsid w:val="00571CB1"/>
    <w:rsid w:val="00571CD0"/>
    <w:rsid w:val="00572276"/>
    <w:rsid w:val="00572D2E"/>
    <w:rsid w:val="00572EF9"/>
    <w:rsid w:val="00573518"/>
    <w:rsid w:val="005739BA"/>
    <w:rsid w:val="00573AB1"/>
    <w:rsid w:val="00573B22"/>
    <w:rsid w:val="00573D5F"/>
    <w:rsid w:val="00574EB5"/>
    <w:rsid w:val="00575FB3"/>
    <w:rsid w:val="00576B20"/>
    <w:rsid w:val="00576C47"/>
    <w:rsid w:val="005771D7"/>
    <w:rsid w:val="005773FC"/>
    <w:rsid w:val="0057740F"/>
    <w:rsid w:val="00577F01"/>
    <w:rsid w:val="00581ED7"/>
    <w:rsid w:val="00581FC3"/>
    <w:rsid w:val="00582A58"/>
    <w:rsid w:val="00582E17"/>
    <w:rsid w:val="00582FD8"/>
    <w:rsid w:val="00583055"/>
    <w:rsid w:val="005839A9"/>
    <w:rsid w:val="00583EA0"/>
    <w:rsid w:val="005848F3"/>
    <w:rsid w:val="005849F8"/>
    <w:rsid w:val="00584A1D"/>
    <w:rsid w:val="005853A1"/>
    <w:rsid w:val="00585665"/>
    <w:rsid w:val="00586A4A"/>
    <w:rsid w:val="00586E9F"/>
    <w:rsid w:val="005871DB"/>
    <w:rsid w:val="0058796C"/>
    <w:rsid w:val="00590C7B"/>
    <w:rsid w:val="00590E13"/>
    <w:rsid w:val="00590F6A"/>
    <w:rsid w:val="00591001"/>
    <w:rsid w:val="005918C1"/>
    <w:rsid w:val="00591E01"/>
    <w:rsid w:val="00591E92"/>
    <w:rsid w:val="00591F97"/>
    <w:rsid w:val="0059250B"/>
    <w:rsid w:val="00592517"/>
    <w:rsid w:val="005926E5"/>
    <w:rsid w:val="00593A25"/>
    <w:rsid w:val="00593A79"/>
    <w:rsid w:val="0059406E"/>
    <w:rsid w:val="005943D0"/>
    <w:rsid w:val="00594857"/>
    <w:rsid w:val="00594B7F"/>
    <w:rsid w:val="005951DD"/>
    <w:rsid w:val="00595321"/>
    <w:rsid w:val="00595D99"/>
    <w:rsid w:val="00596826"/>
    <w:rsid w:val="00596F62"/>
    <w:rsid w:val="00597040"/>
    <w:rsid w:val="00597777"/>
    <w:rsid w:val="005979DC"/>
    <w:rsid w:val="00597E8A"/>
    <w:rsid w:val="005A0283"/>
    <w:rsid w:val="005A05E7"/>
    <w:rsid w:val="005A0E02"/>
    <w:rsid w:val="005A1175"/>
    <w:rsid w:val="005A1595"/>
    <w:rsid w:val="005A16DA"/>
    <w:rsid w:val="005A23AD"/>
    <w:rsid w:val="005A2618"/>
    <w:rsid w:val="005A30C4"/>
    <w:rsid w:val="005A34A2"/>
    <w:rsid w:val="005A3563"/>
    <w:rsid w:val="005A3C43"/>
    <w:rsid w:val="005A47F9"/>
    <w:rsid w:val="005A49AF"/>
    <w:rsid w:val="005A4A59"/>
    <w:rsid w:val="005A5078"/>
    <w:rsid w:val="005A5356"/>
    <w:rsid w:val="005A55B6"/>
    <w:rsid w:val="005A5CF9"/>
    <w:rsid w:val="005A5D5A"/>
    <w:rsid w:val="005B028E"/>
    <w:rsid w:val="005B0FCB"/>
    <w:rsid w:val="005B143C"/>
    <w:rsid w:val="005B1640"/>
    <w:rsid w:val="005B1F5E"/>
    <w:rsid w:val="005B2235"/>
    <w:rsid w:val="005B344A"/>
    <w:rsid w:val="005B3F22"/>
    <w:rsid w:val="005B40DD"/>
    <w:rsid w:val="005B6D4C"/>
    <w:rsid w:val="005B72EA"/>
    <w:rsid w:val="005B79EE"/>
    <w:rsid w:val="005C04D8"/>
    <w:rsid w:val="005C0E12"/>
    <w:rsid w:val="005C0E5C"/>
    <w:rsid w:val="005C0E9F"/>
    <w:rsid w:val="005C107C"/>
    <w:rsid w:val="005C18B9"/>
    <w:rsid w:val="005C2063"/>
    <w:rsid w:val="005C3FBC"/>
    <w:rsid w:val="005C425D"/>
    <w:rsid w:val="005C4470"/>
    <w:rsid w:val="005C4747"/>
    <w:rsid w:val="005C4AF2"/>
    <w:rsid w:val="005C5F7B"/>
    <w:rsid w:val="005C6586"/>
    <w:rsid w:val="005C72DA"/>
    <w:rsid w:val="005D0996"/>
    <w:rsid w:val="005D0FEE"/>
    <w:rsid w:val="005D13A3"/>
    <w:rsid w:val="005D1590"/>
    <w:rsid w:val="005D2260"/>
    <w:rsid w:val="005D2776"/>
    <w:rsid w:val="005D27A6"/>
    <w:rsid w:val="005D458D"/>
    <w:rsid w:val="005D4842"/>
    <w:rsid w:val="005D506B"/>
    <w:rsid w:val="005D6075"/>
    <w:rsid w:val="005D63EE"/>
    <w:rsid w:val="005D6C99"/>
    <w:rsid w:val="005E0ABE"/>
    <w:rsid w:val="005E103B"/>
    <w:rsid w:val="005E108F"/>
    <w:rsid w:val="005E151F"/>
    <w:rsid w:val="005E17E2"/>
    <w:rsid w:val="005E2A91"/>
    <w:rsid w:val="005E2F55"/>
    <w:rsid w:val="005E3986"/>
    <w:rsid w:val="005E3F08"/>
    <w:rsid w:val="005E4190"/>
    <w:rsid w:val="005E4E3B"/>
    <w:rsid w:val="005E58AF"/>
    <w:rsid w:val="005E5E8A"/>
    <w:rsid w:val="005E6307"/>
    <w:rsid w:val="005E68B0"/>
    <w:rsid w:val="005E6A04"/>
    <w:rsid w:val="005E7204"/>
    <w:rsid w:val="005E7558"/>
    <w:rsid w:val="005E7865"/>
    <w:rsid w:val="005E79FB"/>
    <w:rsid w:val="005E7E4D"/>
    <w:rsid w:val="005F0177"/>
    <w:rsid w:val="005F02B4"/>
    <w:rsid w:val="005F03EE"/>
    <w:rsid w:val="005F1204"/>
    <w:rsid w:val="005F1314"/>
    <w:rsid w:val="005F14B1"/>
    <w:rsid w:val="005F237C"/>
    <w:rsid w:val="005F2ECC"/>
    <w:rsid w:val="005F3DE9"/>
    <w:rsid w:val="005F441A"/>
    <w:rsid w:val="005F452E"/>
    <w:rsid w:val="005F4BDC"/>
    <w:rsid w:val="005F4C84"/>
    <w:rsid w:val="005F56A4"/>
    <w:rsid w:val="005F5F98"/>
    <w:rsid w:val="006013A5"/>
    <w:rsid w:val="00601F20"/>
    <w:rsid w:val="006027B2"/>
    <w:rsid w:val="00602D9C"/>
    <w:rsid w:val="00602DD1"/>
    <w:rsid w:val="0060464C"/>
    <w:rsid w:val="00604DFF"/>
    <w:rsid w:val="0060661C"/>
    <w:rsid w:val="006066E6"/>
    <w:rsid w:val="00606770"/>
    <w:rsid w:val="00607A3C"/>
    <w:rsid w:val="0061005D"/>
    <w:rsid w:val="006100CF"/>
    <w:rsid w:val="006102FD"/>
    <w:rsid w:val="00611C93"/>
    <w:rsid w:val="00611D13"/>
    <w:rsid w:val="00612765"/>
    <w:rsid w:val="006127A3"/>
    <w:rsid w:val="006129A1"/>
    <w:rsid w:val="00612DFF"/>
    <w:rsid w:val="006138E0"/>
    <w:rsid w:val="00613CC1"/>
    <w:rsid w:val="006147B6"/>
    <w:rsid w:val="00615278"/>
    <w:rsid w:val="006156ED"/>
    <w:rsid w:val="0061591B"/>
    <w:rsid w:val="00615D63"/>
    <w:rsid w:val="00616E58"/>
    <w:rsid w:val="00616FA2"/>
    <w:rsid w:val="006171EE"/>
    <w:rsid w:val="00617452"/>
    <w:rsid w:val="00620753"/>
    <w:rsid w:val="00620A10"/>
    <w:rsid w:val="00621455"/>
    <w:rsid w:val="006216B0"/>
    <w:rsid w:val="00622C7E"/>
    <w:rsid w:val="0062395C"/>
    <w:rsid w:val="00623EE9"/>
    <w:rsid w:val="00623F0A"/>
    <w:rsid w:val="00625175"/>
    <w:rsid w:val="00625260"/>
    <w:rsid w:val="006256E8"/>
    <w:rsid w:val="00625CA2"/>
    <w:rsid w:val="00625F38"/>
    <w:rsid w:val="006260B5"/>
    <w:rsid w:val="00627173"/>
    <w:rsid w:val="00627EF7"/>
    <w:rsid w:val="0063053E"/>
    <w:rsid w:val="006305E8"/>
    <w:rsid w:val="006309B5"/>
    <w:rsid w:val="00630C10"/>
    <w:rsid w:val="0063148D"/>
    <w:rsid w:val="00631667"/>
    <w:rsid w:val="00631721"/>
    <w:rsid w:val="006325EA"/>
    <w:rsid w:val="00632B46"/>
    <w:rsid w:val="00632C69"/>
    <w:rsid w:val="00632F7B"/>
    <w:rsid w:val="00632FF8"/>
    <w:rsid w:val="00633706"/>
    <w:rsid w:val="00633A9A"/>
    <w:rsid w:val="0063421D"/>
    <w:rsid w:val="0063446B"/>
    <w:rsid w:val="0063453A"/>
    <w:rsid w:val="006350D9"/>
    <w:rsid w:val="0063550A"/>
    <w:rsid w:val="00635A4A"/>
    <w:rsid w:val="0063603A"/>
    <w:rsid w:val="006364D7"/>
    <w:rsid w:val="00637611"/>
    <w:rsid w:val="00637A09"/>
    <w:rsid w:val="00637AF2"/>
    <w:rsid w:val="00637C98"/>
    <w:rsid w:val="00640301"/>
    <w:rsid w:val="006403CA"/>
    <w:rsid w:val="00640401"/>
    <w:rsid w:val="00640575"/>
    <w:rsid w:val="00641644"/>
    <w:rsid w:val="00641A8A"/>
    <w:rsid w:val="0064220E"/>
    <w:rsid w:val="006423E0"/>
    <w:rsid w:val="0064272C"/>
    <w:rsid w:val="00642C9C"/>
    <w:rsid w:val="006432EB"/>
    <w:rsid w:val="006435AE"/>
    <w:rsid w:val="0064469E"/>
    <w:rsid w:val="006448DF"/>
    <w:rsid w:val="00644AB8"/>
    <w:rsid w:val="00644BFB"/>
    <w:rsid w:val="00645272"/>
    <w:rsid w:val="00645C34"/>
    <w:rsid w:val="00646E3E"/>
    <w:rsid w:val="00646EC3"/>
    <w:rsid w:val="00646F5D"/>
    <w:rsid w:val="00647C79"/>
    <w:rsid w:val="00647EED"/>
    <w:rsid w:val="00650335"/>
    <w:rsid w:val="006508BB"/>
    <w:rsid w:val="0065093E"/>
    <w:rsid w:val="00650C71"/>
    <w:rsid w:val="00651B64"/>
    <w:rsid w:val="00652013"/>
    <w:rsid w:val="00652096"/>
    <w:rsid w:val="00652774"/>
    <w:rsid w:val="00652794"/>
    <w:rsid w:val="00652A06"/>
    <w:rsid w:val="00653159"/>
    <w:rsid w:val="0065383D"/>
    <w:rsid w:val="00653A84"/>
    <w:rsid w:val="00653C44"/>
    <w:rsid w:val="0065476C"/>
    <w:rsid w:val="006548F8"/>
    <w:rsid w:val="00654E8B"/>
    <w:rsid w:val="00655169"/>
    <w:rsid w:val="0065525E"/>
    <w:rsid w:val="0065538E"/>
    <w:rsid w:val="00655465"/>
    <w:rsid w:val="0065681D"/>
    <w:rsid w:val="00656CB1"/>
    <w:rsid w:val="00656F53"/>
    <w:rsid w:val="00657179"/>
    <w:rsid w:val="00657435"/>
    <w:rsid w:val="006575AD"/>
    <w:rsid w:val="00657697"/>
    <w:rsid w:val="006576E1"/>
    <w:rsid w:val="006579F1"/>
    <w:rsid w:val="00657B40"/>
    <w:rsid w:val="00657EDA"/>
    <w:rsid w:val="006601FC"/>
    <w:rsid w:val="00660E94"/>
    <w:rsid w:val="00661000"/>
    <w:rsid w:val="006610AE"/>
    <w:rsid w:val="006614EB"/>
    <w:rsid w:val="00661977"/>
    <w:rsid w:val="006619B5"/>
    <w:rsid w:val="00662256"/>
    <w:rsid w:val="00662310"/>
    <w:rsid w:val="006624EF"/>
    <w:rsid w:val="00662575"/>
    <w:rsid w:val="006627A9"/>
    <w:rsid w:val="00663C3B"/>
    <w:rsid w:val="00663EC4"/>
    <w:rsid w:val="00663ED6"/>
    <w:rsid w:val="00663F0B"/>
    <w:rsid w:val="00664EF9"/>
    <w:rsid w:val="006650FC"/>
    <w:rsid w:val="0066512D"/>
    <w:rsid w:val="00665608"/>
    <w:rsid w:val="00665BC5"/>
    <w:rsid w:val="00665C15"/>
    <w:rsid w:val="0066616B"/>
    <w:rsid w:val="006671CD"/>
    <w:rsid w:val="006673A8"/>
    <w:rsid w:val="00667406"/>
    <w:rsid w:val="00667866"/>
    <w:rsid w:val="006678E7"/>
    <w:rsid w:val="00670146"/>
    <w:rsid w:val="00670E20"/>
    <w:rsid w:val="006722F3"/>
    <w:rsid w:val="00672707"/>
    <w:rsid w:val="00673086"/>
    <w:rsid w:val="00673CFC"/>
    <w:rsid w:val="00673D69"/>
    <w:rsid w:val="00674266"/>
    <w:rsid w:val="0067433D"/>
    <w:rsid w:val="00674B04"/>
    <w:rsid w:val="00674DFD"/>
    <w:rsid w:val="00675013"/>
    <w:rsid w:val="00675251"/>
    <w:rsid w:val="0067538E"/>
    <w:rsid w:val="006755E6"/>
    <w:rsid w:val="006756EA"/>
    <w:rsid w:val="00675957"/>
    <w:rsid w:val="00675B5F"/>
    <w:rsid w:val="00676005"/>
    <w:rsid w:val="00676223"/>
    <w:rsid w:val="00676BDF"/>
    <w:rsid w:val="0067771C"/>
    <w:rsid w:val="00677BCA"/>
    <w:rsid w:val="00680521"/>
    <w:rsid w:val="00680728"/>
    <w:rsid w:val="006807D2"/>
    <w:rsid w:val="0068151C"/>
    <w:rsid w:val="00681535"/>
    <w:rsid w:val="00681687"/>
    <w:rsid w:val="00681823"/>
    <w:rsid w:val="00681D1F"/>
    <w:rsid w:val="00682190"/>
    <w:rsid w:val="006833A2"/>
    <w:rsid w:val="0068376C"/>
    <w:rsid w:val="0068480C"/>
    <w:rsid w:val="00684D30"/>
    <w:rsid w:val="00685367"/>
    <w:rsid w:val="00685539"/>
    <w:rsid w:val="00685F0E"/>
    <w:rsid w:val="0068649B"/>
    <w:rsid w:val="006864F0"/>
    <w:rsid w:val="006868EE"/>
    <w:rsid w:val="0068716A"/>
    <w:rsid w:val="00687B07"/>
    <w:rsid w:val="00687E68"/>
    <w:rsid w:val="0069003E"/>
    <w:rsid w:val="00690DEB"/>
    <w:rsid w:val="00691AA9"/>
    <w:rsid w:val="00691E93"/>
    <w:rsid w:val="006924AC"/>
    <w:rsid w:val="00692C2E"/>
    <w:rsid w:val="00693448"/>
    <w:rsid w:val="006935D8"/>
    <w:rsid w:val="006937B2"/>
    <w:rsid w:val="006938F7"/>
    <w:rsid w:val="00693B9C"/>
    <w:rsid w:val="00694142"/>
    <w:rsid w:val="006947BC"/>
    <w:rsid w:val="00694D8E"/>
    <w:rsid w:val="00695A17"/>
    <w:rsid w:val="00695ACF"/>
    <w:rsid w:val="00695BE2"/>
    <w:rsid w:val="00695D97"/>
    <w:rsid w:val="00695DC1"/>
    <w:rsid w:val="00696370"/>
    <w:rsid w:val="00696D05"/>
    <w:rsid w:val="00696D9D"/>
    <w:rsid w:val="00696E97"/>
    <w:rsid w:val="00697213"/>
    <w:rsid w:val="00697232"/>
    <w:rsid w:val="00697801"/>
    <w:rsid w:val="00697887"/>
    <w:rsid w:val="00697A6A"/>
    <w:rsid w:val="006A079C"/>
    <w:rsid w:val="006A0DC7"/>
    <w:rsid w:val="006A13BB"/>
    <w:rsid w:val="006A1AD8"/>
    <w:rsid w:val="006A255C"/>
    <w:rsid w:val="006A278B"/>
    <w:rsid w:val="006A2C8F"/>
    <w:rsid w:val="006A3A3F"/>
    <w:rsid w:val="006A3AD5"/>
    <w:rsid w:val="006A3F04"/>
    <w:rsid w:val="006A4940"/>
    <w:rsid w:val="006A4E6C"/>
    <w:rsid w:val="006A5479"/>
    <w:rsid w:val="006A5B99"/>
    <w:rsid w:val="006A5C46"/>
    <w:rsid w:val="006A6428"/>
    <w:rsid w:val="006A6785"/>
    <w:rsid w:val="006A6E4C"/>
    <w:rsid w:val="006A7219"/>
    <w:rsid w:val="006B0512"/>
    <w:rsid w:val="006B068E"/>
    <w:rsid w:val="006B09D5"/>
    <w:rsid w:val="006B0B96"/>
    <w:rsid w:val="006B2657"/>
    <w:rsid w:val="006B44FF"/>
    <w:rsid w:val="006B53E6"/>
    <w:rsid w:val="006B60D7"/>
    <w:rsid w:val="006B618E"/>
    <w:rsid w:val="006B6841"/>
    <w:rsid w:val="006C0F87"/>
    <w:rsid w:val="006C1C83"/>
    <w:rsid w:val="006C1D0E"/>
    <w:rsid w:val="006C2EB1"/>
    <w:rsid w:val="006C2EC3"/>
    <w:rsid w:val="006C3029"/>
    <w:rsid w:val="006C3BCE"/>
    <w:rsid w:val="006C4534"/>
    <w:rsid w:val="006C4DA7"/>
    <w:rsid w:val="006C51DF"/>
    <w:rsid w:val="006C57AA"/>
    <w:rsid w:val="006C5E7B"/>
    <w:rsid w:val="006C6217"/>
    <w:rsid w:val="006C6275"/>
    <w:rsid w:val="006C632D"/>
    <w:rsid w:val="006C686D"/>
    <w:rsid w:val="006C70A6"/>
    <w:rsid w:val="006C765C"/>
    <w:rsid w:val="006C7930"/>
    <w:rsid w:val="006C7AB9"/>
    <w:rsid w:val="006C7B06"/>
    <w:rsid w:val="006D0A18"/>
    <w:rsid w:val="006D0C15"/>
    <w:rsid w:val="006D0EB0"/>
    <w:rsid w:val="006D1A4D"/>
    <w:rsid w:val="006D2261"/>
    <w:rsid w:val="006D24E7"/>
    <w:rsid w:val="006D261C"/>
    <w:rsid w:val="006D27FC"/>
    <w:rsid w:val="006D3204"/>
    <w:rsid w:val="006D3709"/>
    <w:rsid w:val="006D3DF3"/>
    <w:rsid w:val="006D40FE"/>
    <w:rsid w:val="006D41A6"/>
    <w:rsid w:val="006D5021"/>
    <w:rsid w:val="006D598A"/>
    <w:rsid w:val="006D6005"/>
    <w:rsid w:val="006D60FC"/>
    <w:rsid w:val="006D630A"/>
    <w:rsid w:val="006E011F"/>
    <w:rsid w:val="006E0603"/>
    <w:rsid w:val="006E0786"/>
    <w:rsid w:val="006E0BB2"/>
    <w:rsid w:val="006E1AC8"/>
    <w:rsid w:val="006E1DF5"/>
    <w:rsid w:val="006E20F1"/>
    <w:rsid w:val="006E2253"/>
    <w:rsid w:val="006E230F"/>
    <w:rsid w:val="006E253C"/>
    <w:rsid w:val="006E3321"/>
    <w:rsid w:val="006E34C7"/>
    <w:rsid w:val="006E37DF"/>
    <w:rsid w:val="006E3A3F"/>
    <w:rsid w:val="006E503E"/>
    <w:rsid w:val="006E60FA"/>
    <w:rsid w:val="006E614A"/>
    <w:rsid w:val="006E66DC"/>
    <w:rsid w:val="006E7762"/>
    <w:rsid w:val="006E7CED"/>
    <w:rsid w:val="006F094E"/>
    <w:rsid w:val="006F0B6F"/>
    <w:rsid w:val="006F0EA3"/>
    <w:rsid w:val="006F1398"/>
    <w:rsid w:val="006F1477"/>
    <w:rsid w:val="006F173A"/>
    <w:rsid w:val="006F1A32"/>
    <w:rsid w:val="006F1F95"/>
    <w:rsid w:val="006F2495"/>
    <w:rsid w:val="006F2675"/>
    <w:rsid w:val="006F2E82"/>
    <w:rsid w:val="006F478F"/>
    <w:rsid w:val="006F5465"/>
    <w:rsid w:val="006F5768"/>
    <w:rsid w:val="006F5922"/>
    <w:rsid w:val="006F5EC7"/>
    <w:rsid w:val="006F6268"/>
    <w:rsid w:val="006F6392"/>
    <w:rsid w:val="006F6665"/>
    <w:rsid w:val="006F68A7"/>
    <w:rsid w:val="006F753C"/>
    <w:rsid w:val="006F7A49"/>
    <w:rsid w:val="007008AA"/>
    <w:rsid w:val="00700FCE"/>
    <w:rsid w:val="007020DE"/>
    <w:rsid w:val="007022B7"/>
    <w:rsid w:val="007022F5"/>
    <w:rsid w:val="007023F6"/>
    <w:rsid w:val="00703778"/>
    <w:rsid w:val="00703902"/>
    <w:rsid w:val="00703928"/>
    <w:rsid w:val="00703CF1"/>
    <w:rsid w:val="00703E12"/>
    <w:rsid w:val="00703FDB"/>
    <w:rsid w:val="007047E9"/>
    <w:rsid w:val="00705ADD"/>
    <w:rsid w:val="0070669F"/>
    <w:rsid w:val="00706B4B"/>
    <w:rsid w:val="007075FE"/>
    <w:rsid w:val="00707B85"/>
    <w:rsid w:val="0071160A"/>
    <w:rsid w:val="00711F89"/>
    <w:rsid w:val="00712037"/>
    <w:rsid w:val="00712815"/>
    <w:rsid w:val="00712FB0"/>
    <w:rsid w:val="007133FC"/>
    <w:rsid w:val="00713684"/>
    <w:rsid w:val="00713C96"/>
    <w:rsid w:val="00713E86"/>
    <w:rsid w:val="007150C2"/>
    <w:rsid w:val="0071647C"/>
    <w:rsid w:val="007166AE"/>
    <w:rsid w:val="007174B5"/>
    <w:rsid w:val="00717810"/>
    <w:rsid w:val="00717AB7"/>
    <w:rsid w:val="00717AD5"/>
    <w:rsid w:val="00717E78"/>
    <w:rsid w:val="007204CD"/>
    <w:rsid w:val="007206CE"/>
    <w:rsid w:val="007206E5"/>
    <w:rsid w:val="00720A0E"/>
    <w:rsid w:val="0072116E"/>
    <w:rsid w:val="00722A5D"/>
    <w:rsid w:val="007230A6"/>
    <w:rsid w:val="00723AAC"/>
    <w:rsid w:val="00724855"/>
    <w:rsid w:val="00724B11"/>
    <w:rsid w:val="00724B64"/>
    <w:rsid w:val="007254AB"/>
    <w:rsid w:val="00725837"/>
    <w:rsid w:val="00726012"/>
    <w:rsid w:val="00727C38"/>
    <w:rsid w:val="007301D5"/>
    <w:rsid w:val="0073081B"/>
    <w:rsid w:val="00730935"/>
    <w:rsid w:val="00730CAB"/>
    <w:rsid w:val="00731C33"/>
    <w:rsid w:val="0073274D"/>
    <w:rsid w:val="0073296D"/>
    <w:rsid w:val="007329B4"/>
    <w:rsid w:val="007342B5"/>
    <w:rsid w:val="007345AE"/>
    <w:rsid w:val="00734F67"/>
    <w:rsid w:val="0073565A"/>
    <w:rsid w:val="0073568F"/>
    <w:rsid w:val="00735CF3"/>
    <w:rsid w:val="007362D0"/>
    <w:rsid w:val="007369C5"/>
    <w:rsid w:val="0073775C"/>
    <w:rsid w:val="0073776D"/>
    <w:rsid w:val="007406D3"/>
    <w:rsid w:val="00740F1F"/>
    <w:rsid w:val="007410A7"/>
    <w:rsid w:val="00741C93"/>
    <w:rsid w:val="00743237"/>
    <w:rsid w:val="00743298"/>
    <w:rsid w:val="00743485"/>
    <w:rsid w:val="00743733"/>
    <w:rsid w:val="00743E66"/>
    <w:rsid w:val="007440BD"/>
    <w:rsid w:val="00744360"/>
    <w:rsid w:val="00744496"/>
    <w:rsid w:val="00744B38"/>
    <w:rsid w:val="0074560A"/>
    <w:rsid w:val="00745725"/>
    <w:rsid w:val="00745CCC"/>
    <w:rsid w:val="00745E30"/>
    <w:rsid w:val="007465F7"/>
    <w:rsid w:val="007472C2"/>
    <w:rsid w:val="00747D61"/>
    <w:rsid w:val="0075054C"/>
    <w:rsid w:val="0075101F"/>
    <w:rsid w:val="00751047"/>
    <w:rsid w:val="0075120E"/>
    <w:rsid w:val="007516BF"/>
    <w:rsid w:val="007523F5"/>
    <w:rsid w:val="00752C53"/>
    <w:rsid w:val="007530BA"/>
    <w:rsid w:val="00753185"/>
    <w:rsid w:val="00753282"/>
    <w:rsid w:val="00753B95"/>
    <w:rsid w:val="00754441"/>
    <w:rsid w:val="007552C1"/>
    <w:rsid w:val="00755C7C"/>
    <w:rsid w:val="00755C8C"/>
    <w:rsid w:val="007566CD"/>
    <w:rsid w:val="0075773A"/>
    <w:rsid w:val="00757A22"/>
    <w:rsid w:val="0076213B"/>
    <w:rsid w:val="00762EBC"/>
    <w:rsid w:val="00762F93"/>
    <w:rsid w:val="007630A3"/>
    <w:rsid w:val="00764AAB"/>
    <w:rsid w:val="0076680A"/>
    <w:rsid w:val="00766B1C"/>
    <w:rsid w:val="00766DF3"/>
    <w:rsid w:val="00767212"/>
    <w:rsid w:val="0076761D"/>
    <w:rsid w:val="00767DC6"/>
    <w:rsid w:val="007704CA"/>
    <w:rsid w:val="007711EE"/>
    <w:rsid w:val="00772392"/>
    <w:rsid w:val="00772987"/>
    <w:rsid w:val="00772ACC"/>
    <w:rsid w:val="007738B0"/>
    <w:rsid w:val="00774651"/>
    <w:rsid w:val="00774CB3"/>
    <w:rsid w:val="00774CBE"/>
    <w:rsid w:val="00774D14"/>
    <w:rsid w:val="00775D3B"/>
    <w:rsid w:val="00776137"/>
    <w:rsid w:val="00776488"/>
    <w:rsid w:val="00776491"/>
    <w:rsid w:val="0077682B"/>
    <w:rsid w:val="00776CEB"/>
    <w:rsid w:val="00776EC0"/>
    <w:rsid w:val="00777524"/>
    <w:rsid w:val="00777AC9"/>
    <w:rsid w:val="00781388"/>
    <w:rsid w:val="00781550"/>
    <w:rsid w:val="00782284"/>
    <w:rsid w:val="0078276B"/>
    <w:rsid w:val="00782C15"/>
    <w:rsid w:val="00782FBA"/>
    <w:rsid w:val="00783652"/>
    <w:rsid w:val="00783869"/>
    <w:rsid w:val="00784152"/>
    <w:rsid w:val="0078426B"/>
    <w:rsid w:val="007846B3"/>
    <w:rsid w:val="00784ADD"/>
    <w:rsid w:val="00785649"/>
    <w:rsid w:val="007857CC"/>
    <w:rsid w:val="00785DE1"/>
    <w:rsid w:val="007875A2"/>
    <w:rsid w:val="00787691"/>
    <w:rsid w:val="007878F9"/>
    <w:rsid w:val="00787E06"/>
    <w:rsid w:val="007902CE"/>
    <w:rsid w:val="007903A3"/>
    <w:rsid w:val="0079160B"/>
    <w:rsid w:val="00791968"/>
    <w:rsid w:val="00793AA1"/>
    <w:rsid w:val="00793DBA"/>
    <w:rsid w:val="0079448C"/>
    <w:rsid w:val="007944BB"/>
    <w:rsid w:val="00794CDB"/>
    <w:rsid w:val="0079561B"/>
    <w:rsid w:val="00795853"/>
    <w:rsid w:val="00795CF4"/>
    <w:rsid w:val="007966AC"/>
    <w:rsid w:val="00797660"/>
    <w:rsid w:val="007A067A"/>
    <w:rsid w:val="007A09C6"/>
    <w:rsid w:val="007A0A64"/>
    <w:rsid w:val="007A0B9A"/>
    <w:rsid w:val="007A105D"/>
    <w:rsid w:val="007A19D1"/>
    <w:rsid w:val="007A26D3"/>
    <w:rsid w:val="007A3B6B"/>
    <w:rsid w:val="007A3D2F"/>
    <w:rsid w:val="007A4473"/>
    <w:rsid w:val="007A4EA9"/>
    <w:rsid w:val="007A58A5"/>
    <w:rsid w:val="007A5C7B"/>
    <w:rsid w:val="007A64BE"/>
    <w:rsid w:val="007A6D3E"/>
    <w:rsid w:val="007A7D69"/>
    <w:rsid w:val="007B00B7"/>
    <w:rsid w:val="007B0506"/>
    <w:rsid w:val="007B124E"/>
    <w:rsid w:val="007B127A"/>
    <w:rsid w:val="007B1A72"/>
    <w:rsid w:val="007B1C84"/>
    <w:rsid w:val="007B1C8C"/>
    <w:rsid w:val="007B1F72"/>
    <w:rsid w:val="007B1FB7"/>
    <w:rsid w:val="007B3133"/>
    <w:rsid w:val="007B316B"/>
    <w:rsid w:val="007B362C"/>
    <w:rsid w:val="007B3A87"/>
    <w:rsid w:val="007B3BD7"/>
    <w:rsid w:val="007B4804"/>
    <w:rsid w:val="007B4931"/>
    <w:rsid w:val="007B573C"/>
    <w:rsid w:val="007B59EF"/>
    <w:rsid w:val="007B6304"/>
    <w:rsid w:val="007B6F8C"/>
    <w:rsid w:val="007B6FC6"/>
    <w:rsid w:val="007B7111"/>
    <w:rsid w:val="007B7939"/>
    <w:rsid w:val="007C00C6"/>
    <w:rsid w:val="007C068A"/>
    <w:rsid w:val="007C11C3"/>
    <w:rsid w:val="007C2878"/>
    <w:rsid w:val="007C2C47"/>
    <w:rsid w:val="007C2C63"/>
    <w:rsid w:val="007C2EAE"/>
    <w:rsid w:val="007C311C"/>
    <w:rsid w:val="007C4F76"/>
    <w:rsid w:val="007C5352"/>
    <w:rsid w:val="007C53EE"/>
    <w:rsid w:val="007C59E1"/>
    <w:rsid w:val="007C6288"/>
    <w:rsid w:val="007C6790"/>
    <w:rsid w:val="007C6DCE"/>
    <w:rsid w:val="007C7BC3"/>
    <w:rsid w:val="007D0041"/>
    <w:rsid w:val="007D09DD"/>
    <w:rsid w:val="007D1494"/>
    <w:rsid w:val="007D1E5D"/>
    <w:rsid w:val="007D224D"/>
    <w:rsid w:val="007D24FA"/>
    <w:rsid w:val="007D3CD5"/>
    <w:rsid w:val="007D4057"/>
    <w:rsid w:val="007D553E"/>
    <w:rsid w:val="007D5950"/>
    <w:rsid w:val="007D7E8E"/>
    <w:rsid w:val="007E028A"/>
    <w:rsid w:val="007E0AFA"/>
    <w:rsid w:val="007E2198"/>
    <w:rsid w:val="007E2549"/>
    <w:rsid w:val="007E2A1F"/>
    <w:rsid w:val="007E3B9E"/>
    <w:rsid w:val="007E3E03"/>
    <w:rsid w:val="007E41A9"/>
    <w:rsid w:val="007E4F54"/>
    <w:rsid w:val="007E4F8A"/>
    <w:rsid w:val="007E50CF"/>
    <w:rsid w:val="007E53A5"/>
    <w:rsid w:val="007E541B"/>
    <w:rsid w:val="007E54F9"/>
    <w:rsid w:val="007E57B8"/>
    <w:rsid w:val="007E598F"/>
    <w:rsid w:val="007E6A14"/>
    <w:rsid w:val="007E6C6B"/>
    <w:rsid w:val="007E7784"/>
    <w:rsid w:val="007E7787"/>
    <w:rsid w:val="007E7C5C"/>
    <w:rsid w:val="007E7FC2"/>
    <w:rsid w:val="007F04D0"/>
    <w:rsid w:val="007F0A81"/>
    <w:rsid w:val="007F0AEB"/>
    <w:rsid w:val="007F11C5"/>
    <w:rsid w:val="007F1802"/>
    <w:rsid w:val="007F1A23"/>
    <w:rsid w:val="007F2315"/>
    <w:rsid w:val="007F24A6"/>
    <w:rsid w:val="007F34C3"/>
    <w:rsid w:val="007F34D3"/>
    <w:rsid w:val="007F35E5"/>
    <w:rsid w:val="007F3F65"/>
    <w:rsid w:val="007F4706"/>
    <w:rsid w:val="007F4AA9"/>
    <w:rsid w:val="007F4FA7"/>
    <w:rsid w:val="007F647A"/>
    <w:rsid w:val="007F65F0"/>
    <w:rsid w:val="007F68D3"/>
    <w:rsid w:val="007F7632"/>
    <w:rsid w:val="007F76BC"/>
    <w:rsid w:val="00800F9B"/>
    <w:rsid w:val="008013E5"/>
    <w:rsid w:val="0080169D"/>
    <w:rsid w:val="0080189C"/>
    <w:rsid w:val="00801D8E"/>
    <w:rsid w:val="00801EEB"/>
    <w:rsid w:val="008020D4"/>
    <w:rsid w:val="00802196"/>
    <w:rsid w:val="008024CE"/>
    <w:rsid w:val="0080346B"/>
    <w:rsid w:val="00804B4E"/>
    <w:rsid w:val="0080504D"/>
    <w:rsid w:val="00805426"/>
    <w:rsid w:val="00805EAA"/>
    <w:rsid w:val="00806B28"/>
    <w:rsid w:val="00807464"/>
    <w:rsid w:val="0080750B"/>
    <w:rsid w:val="0080778F"/>
    <w:rsid w:val="00807BAC"/>
    <w:rsid w:val="00807D93"/>
    <w:rsid w:val="0081059C"/>
    <w:rsid w:val="00810800"/>
    <w:rsid w:val="00811390"/>
    <w:rsid w:val="0081153E"/>
    <w:rsid w:val="00811574"/>
    <w:rsid w:val="008115DC"/>
    <w:rsid w:val="00811B9D"/>
    <w:rsid w:val="00811C34"/>
    <w:rsid w:val="008139BE"/>
    <w:rsid w:val="00813CE2"/>
    <w:rsid w:val="008142C2"/>
    <w:rsid w:val="008145CD"/>
    <w:rsid w:val="00815911"/>
    <w:rsid w:val="00815DD2"/>
    <w:rsid w:val="00816A26"/>
    <w:rsid w:val="00816D57"/>
    <w:rsid w:val="00816E75"/>
    <w:rsid w:val="00817379"/>
    <w:rsid w:val="00820038"/>
    <w:rsid w:val="00820088"/>
    <w:rsid w:val="008200DB"/>
    <w:rsid w:val="0082021D"/>
    <w:rsid w:val="00821ABD"/>
    <w:rsid w:val="00822588"/>
    <w:rsid w:val="008225E8"/>
    <w:rsid w:val="00823380"/>
    <w:rsid w:val="008238D5"/>
    <w:rsid w:val="00823BD7"/>
    <w:rsid w:val="008242AC"/>
    <w:rsid w:val="00824497"/>
    <w:rsid w:val="00824D72"/>
    <w:rsid w:val="008250F0"/>
    <w:rsid w:val="00825165"/>
    <w:rsid w:val="0082530D"/>
    <w:rsid w:val="00826595"/>
    <w:rsid w:val="00826AB7"/>
    <w:rsid w:val="00826AC1"/>
    <w:rsid w:val="00827384"/>
    <w:rsid w:val="00827B0F"/>
    <w:rsid w:val="008302CC"/>
    <w:rsid w:val="008306BB"/>
    <w:rsid w:val="00830D60"/>
    <w:rsid w:val="00830F86"/>
    <w:rsid w:val="008310E9"/>
    <w:rsid w:val="008315A2"/>
    <w:rsid w:val="00831E89"/>
    <w:rsid w:val="00832209"/>
    <w:rsid w:val="008328E6"/>
    <w:rsid w:val="00832F19"/>
    <w:rsid w:val="008337DB"/>
    <w:rsid w:val="008345B4"/>
    <w:rsid w:val="0083467A"/>
    <w:rsid w:val="008349C9"/>
    <w:rsid w:val="00835486"/>
    <w:rsid w:val="00835A6E"/>
    <w:rsid w:val="0083612D"/>
    <w:rsid w:val="0083653E"/>
    <w:rsid w:val="0083676D"/>
    <w:rsid w:val="00840923"/>
    <w:rsid w:val="00841BAC"/>
    <w:rsid w:val="00841E74"/>
    <w:rsid w:val="00842305"/>
    <w:rsid w:val="008427F8"/>
    <w:rsid w:val="00843697"/>
    <w:rsid w:val="00843942"/>
    <w:rsid w:val="00843A5E"/>
    <w:rsid w:val="00843CE5"/>
    <w:rsid w:val="0084481E"/>
    <w:rsid w:val="008448E2"/>
    <w:rsid w:val="00844C04"/>
    <w:rsid w:val="00846418"/>
    <w:rsid w:val="00846D87"/>
    <w:rsid w:val="00846DB0"/>
    <w:rsid w:val="00846DD5"/>
    <w:rsid w:val="00846F6D"/>
    <w:rsid w:val="00846FFD"/>
    <w:rsid w:val="0084719D"/>
    <w:rsid w:val="00847318"/>
    <w:rsid w:val="00850031"/>
    <w:rsid w:val="00850968"/>
    <w:rsid w:val="00850AFF"/>
    <w:rsid w:val="0085100E"/>
    <w:rsid w:val="00851300"/>
    <w:rsid w:val="00851C40"/>
    <w:rsid w:val="0085215A"/>
    <w:rsid w:val="00852608"/>
    <w:rsid w:val="00852B4C"/>
    <w:rsid w:val="00852EE1"/>
    <w:rsid w:val="008531E4"/>
    <w:rsid w:val="008532C5"/>
    <w:rsid w:val="008535BC"/>
    <w:rsid w:val="00853810"/>
    <w:rsid w:val="00854CE7"/>
    <w:rsid w:val="0085567C"/>
    <w:rsid w:val="00855919"/>
    <w:rsid w:val="00855AEE"/>
    <w:rsid w:val="008569AD"/>
    <w:rsid w:val="008573F2"/>
    <w:rsid w:val="00857766"/>
    <w:rsid w:val="00860195"/>
    <w:rsid w:val="008605E0"/>
    <w:rsid w:val="00861C2C"/>
    <w:rsid w:val="0086205B"/>
    <w:rsid w:val="008626A1"/>
    <w:rsid w:val="00862AC9"/>
    <w:rsid w:val="00862BCD"/>
    <w:rsid w:val="00863A66"/>
    <w:rsid w:val="00863AF8"/>
    <w:rsid w:val="00863EA3"/>
    <w:rsid w:val="00864BB0"/>
    <w:rsid w:val="00865670"/>
    <w:rsid w:val="00866416"/>
    <w:rsid w:val="00866A47"/>
    <w:rsid w:val="00866BA9"/>
    <w:rsid w:val="0086709D"/>
    <w:rsid w:val="008674B0"/>
    <w:rsid w:val="00867D00"/>
    <w:rsid w:val="00867F07"/>
    <w:rsid w:val="00870247"/>
    <w:rsid w:val="00870C72"/>
    <w:rsid w:val="00870EDC"/>
    <w:rsid w:val="0087110A"/>
    <w:rsid w:val="008717C1"/>
    <w:rsid w:val="00871B50"/>
    <w:rsid w:val="0087242D"/>
    <w:rsid w:val="0087243F"/>
    <w:rsid w:val="008724C9"/>
    <w:rsid w:val="008737B5"/>
    <w:rsid w:val="008745AF"/>
    <w:rsid w:val="008748A3"/>
    <w:rsid w:val="008751F7"/>
    <w:rsid w:val="00875EFD"/>
    <w:rsid w:val="00875FF6"/>
    <w:rsid w:val="00876BE1"/>
    <w:rsid w:val="00876DA5"/>
    <w:rsid w:val="008777A4"/>
    <w:rsid w:val="008801B7"/>
    <w:rsid w:val="0088072A"/>
    <w:rsid w:val="00880885"/>
    <w:rsid w:val="00880CD9"/>
    <w:rsid w:val="00880D3C"/>
    <w:rsid w:val="0088173E"/>
    <w:rsid w:val="00881749"/>
    <w:rsid w:val="0088226E"/>
    <w:rsid w:val="00882312"/>
    <w:rsid w:val="0088278F"/>
    <w:rsid w:val="00882C49"/>
    <w:rsid w:val="00882E54"/>
    <w:rsid w:val="0088308E"/>
    <w:rsid w:val="00883F66"/>
    <w:rsid w:val="008840D7"/>
    <w:rsid w:val="00884CA0"/>
    <w:rsid w:val="00885780"/>
    <w:rsid w:val="008859E2"/>
    <w:rsid w:val="00886FD5"/>
    <w:rsid w:val="00890DBB"/>
    <w:rsid w:val="00891F26"/>
    <w:rsid w:val="00891F55"/>
    <w:rsid w:val="00892FA0"/>
    <w:rsid w:val="0089332A"/>
    <w:rsid w:val="0089377F"/>
    <w:rsid w:val="00894FE3"/>
    <w:rsid w:val="0089514F"/>
    <w:rsid w:val="00896233"/>
    <w:rsid w:val="00896390"/>
    <w:rsid w:val="00896563"/>
    <w:rsid w:val="00896866"/>
    <w:rsid w:val="00896EC1"/>
    <w:rsid w:val="00897546"/>
    <w:rsid w:val="008978E6"/>
    <w:rsid w:val="008A10CA"/>
    <w:rsid w:val="008A1F3D"/>
    <w:rsid w:val="008A2344"/>
    <w:rsid w:val="008A23C5"/>
    <w:rsid w:val="008A2634"/>
    <w:rsid w:val="008A287B"/>
    <w:rsid w:val="008A2C6A"/>
    <w:rsid w:val="008A3410"/>
    <w:rsid w:val="008A383B"/>
    <w:rsid w:val="008A3AF6"/>
    <w:rsid w:val="008A3BA8"/>
    <w:rsid w:val="008A44B9"/>
    <w:rsid w:val="008A453C"/>
    <w:rsid w:val="008A4754"/>
    <w:rsid w:val="008A4919"/>
    <w:rsid w:val="008A4C3A"/>
    <w:rsid w:val="008A667D"/>
    <w:rsid w:val="008A67B9"/>
    <w:rsid w:val="008A6E16"/>
    <w:rsid w:val="008A7F07"/>
    <w:rsid w:val="008B171D"/>
    <w:rsid w:val="008B1F3A"/>
    <w:rsid w:val="008B1FD4"/>
    <w:rsid w:val="008B229E"/>
    <w:rsid w:val="008B25A6"/>
    <w:rsid w:val="008B28DD"/>
    <w:rsid w:val="008B35A0"/>
    <w:rsid w:val="008B39DC"/>
    <w:rsid w:val="008B50A0"/>
    <w:rsid w:val="008B5BAC"/>
    <w:rsid w:val="008B5D58"/>
    <w:rsid w:val="008B6385"/>
    <w:rsid w:val="008B64C5"/>
    <w:rsid w:val="008B7118"/>
    <w:rsid w:val="008B79C8"/>
    <w:rsid w:val="008B7A65"/>
    <w:rsid w:val="008C006F"/>
    <w:rsid w:val="008C0709"/>
    <w:rsid w:val="008C157A"/>
    <w:rsid w:val="008C15AA"/>
    <w:rsid w:val="008C1C80"/>
    <w:rsid w:val="008C1EA9"/>
    <w:rsid w:val="008C2904"/>
    <w:rsid w:val="008C2990"/>
    <w:rsid w:val="008C34BB"/>
    <w:rsid w:val="008C3BD9"/>
    <w:rsid w:val="008C43CE"/>
    <w:rsid w:val="008C4921"/>
    <w:rsid w:val="008C5242"/>
    <w:rsid w:val="008C5261"/>
    <w:rsid w:val="008C5561"/>
    <w:rsid w:val="008C67DE"/>
    <w:rsid w:val="008C6C62"/>
    <w:rsid w:val="008C70BE"/>
    <w:rsid w:val="008C7808"/>
    <w:rsid w:val="008C7922"/>
    <w:rsid w:val="008C7973"/>
    <w:rsid w:val="008D0401"/>
    <w:rsid w:val="008D0440"/>
    <w:rsid w:val="008D0679"/>
    <w:rsid w:val="008D0778"/>
    <w:rsid w:val="008D0E1E"/>
    <w:rsid w:val="008D0F66"/>
    <w:rsid w:val="008D13B5"/>
    <w:rsid w:val="008D1AB5"/>
    <w:rsid w:val="008D1D60"/>
    <w:rsid w:val="008D2884"/>
    <w:rsid w:val="008D2A8F"/>
    <w:rsid w:val="008D3A54"/>
    <w:rsid w:val="008D3D8C"/>
    <w:rsid w:val="008D43C6"/>
    <w:rsid w:val="008D4677"/>
    <w:rsid w:val="008D49EA"/>
    <w:rsid w:val="008D5D02"/>
    <w:rsid w:val="008D5F33"/>
    <w:rsid w:val="008D66DC"/>
    <w:rsid w:val="008D67E8"/>
    <w:rsid w:val="008D6870"/>
    <w:rsid w:val="008D6948"/>
    <w:rsid w:val="008D6DB0"/>
    <w:rsid w:val="008E0769"/>
    <w:rsid w:val="008E07EA"/>
    <w:rsid w:val="008E09F8"/>
    <w:rsid w:val="008E0F9D"/>
    <w:rsid w:val="008E1380"/>
    <w:rsid w:val="008E148D"/>
    <w:rsid w:val="008E17C8"/>
    <w:rsid w:val="008E182F"/>
    <w:rsid w:val="008E1D1C"/>
    <w:rsid w:val="008E26A4"/>
    <w:rsid w:val="008E2950"/>
    <w:rsid w:val="008E2B1F"/>
    <w:rsid w:val="008E35CF"/>
    <w:rsid w:val="008E3884"/>
    <w:rsid w:val="008E3AF9"/>
    <w:rsid w:val="008E3D05"/>
    <w:rsid w:val="008E3F30"/>
    <w:rsid w:val="008E4B12"/>
    <w:rsid w:val="008E53B9"/>
    <w:rsid w:val="008E5694"/>
    <w:rsid w:val="008E5B8A"/>
    <w:rsid w:val="008E6655"/>
    <w:rsid w:val="008E6685"/>
    <w:rsid w:val="008E6C29"/>
    <w:rsid w:val="008E6C96"/>
    <w:rsid w:val="008E7B49"/>
    <w:rsid w:val="008E7B89"/>
    <w:rsid w:val="008F0303"/>
    <w:rsid w:val="008F0ADC"/>
    <w:rsid w:val="008F0DFD"/>
    <w:rsid w:val="008F1329"/>
    <w:rsid w:val="008F1613"/>
    <w:rsid w:val="008F1A68"/>
    <w:rsid w:val="008F1BDC"/>
    <w:rsid w:val="008F1DF0"/>
    <w:rsid w:val="008F2043"/>
    <w:rsid w:val="008F23D9"/>
    <w:rsid w:val="008F2B45"/>
    <w:rsid w:val="008F2DDE"/>
    <w:rsid w:val="008F33CD"/>
    <w:rsid w:val="008F386A"/>
    <w:rsid w:val="008F3893"/>
    <w:rsid w:val="008F445C"/>
    <w:rsid w:val="008F61A5"/>
    <w:rsid w:val="008F680F"/>
    <w:rsid w:val="008F73B4"/>
    <w:rsid w:val="008F7BAB"/>
    <w:rsid w:val="008F7CFE"/>
    <w:rsid w:val="008F7DC1"/>
    <w:rsid w:val="008F7E21"/>
    <w:rsid w:val="00900583"/>
    <w:rsid w:val="00900CBD"/>
    <w:rsid w:val="0090167A"/>
    <w:rsid w:val="00901C7C"/>
    <w:rsid w:val="00902192"/>
    <w:rsid w:val="009022C4"/>
    <w:rsid w:val="009026DD"/>
    <w:rsid w:val="00903116"/>
    <w:rsid w:val="009033FC"/>
    <w:rsid w:val="00903825"/>
    <w:rsid w:val="00903C23"/>
    <w:rsid w:val="00904293"/>
    <w:rsid w:val="00904C18"/>
    <w:rsid w:val="00905C1B"/>
    <w:rsid w:val="009062E0"/>
    <w:rsid w:val="00906783"/>
    <w:rsid w:val="00906A76"/>
    <w:rsid w:val="00906C7C"/>
    <w:rsid w:val="00907334"/>
    <w:rsid w:val="0091065A"/>
    <w:rsid w:val="009109FB"/>
    <w:rsid w:val="00911126"/>
    <w:rsid w:val="00911285"/>
    <w:rsid w:val="009115BD"/>
    <w:rsid w:val="00911C4F"/>
    <w:rsid w:val="00911CEA"/>
    <w:rsid w:val="00912EBF"/>
    <w:rsid w:val="00913497"/>
    <w:rsid w:val="00913596"/>
    <w:rsid w:val="00913741"/>
    <w:rsid w:val="00913848"/>
    <w:rsid w:val="009138A2"/>
    <w:rsid w:val="00913C51"/>
    <w:rsid w:val="0091416C"/>
    <w:rsid w:val="009147E2"/>
    <w:rsid w:val="00914D90"/>
    <w:rsid w:val="00914F23"/>
    <w:rsid w:val="00914F3A"/>
    <w:rsid w:val="00914FC0"/>
    <w:rsid w:val="009158B0"/>
    <w:rsid w:val="00915A40"/>
    <w:rsid w:val="00916245"/>
    <w:rsid w:val="00916BC7"/>
    <w:rsid w:val="00916F3F"/>
    <w:rsid w:val="00917079"/>
    <w:rsid w:val="00917272"/>
    <w:rsid w:val="009176A9"/>
    <w:rsid w:val="00917D85"/>
    <w:rsid w:val="00917EC6"/>
    <w:rsid w:val="009200ED"/>
    <w:rsid w:val="009202F0"/>
    <w:rsid w:val="009211F4"/>
    <w:rsid w:val="009220FC"/>
    <w:rsid w:val="00922726"/>
    <w:rsid w:val="00922C30"/>
    <w:rsid w:val="009231FD"/>
    <w:rsid w:val="0092331D"/>
    <w:rsid w:val="00923D1D"/>
    <w:rsid w:val="00924E0B"/>
    <w:rsid w:val="00925923"/>
    <w:rsid w:val="00925A91"/>
    <w:rsid w:val="00925E34"/>
    <w:rsid w:val="00925F90"/>
    <w:rsid w:val="00926568"/>
    <w:rsid w:val="009269FB"/>
    <w:rsid w:val="00927AC2"/>
    <w:rsid w:val="009301B5"/>
    <w:rsid w:val="00930CEE"/>
    <w:rsid w:val="00930D72"/>
    <w:rsid w:val="00930D73"/>
    <w:rsid w:val="00930E71"/>
    <w:rsid w:val="009312C6"/>
    <w:rsid w:val="00931DB3"/>
    <w:rsid w:val="00931E36"/>
    <w:rsid w:val="009325F9"/>
    <w:rsid w:val="00932614"/>
    <w:rsid w:val="00932C61"/>
    <w:rsid w:val="00933F91"/>
    <w:rsid w:val="00933FA1"/>
    <w:rsid w:val="00934E7B"/>
    <w:rsid w:val="00934F60"/>
    <w:rsid w:val="009350D5"/>
    <w:rsid w:val="009352EF"/>
    <w:rsid w:val="00935B54"/>
    <w:rsid w:val="00936A67"/>
    <w:rsid w:val="00936DD6"/>
    <w:rsid w:val="009372D4"/>
    <w:rsid w:val="00937345"/>
    <w:rsid w:val="00937B05"/>
    <w:rsid w:val="0094029A"/>
    <w:rsid w:val="00940508"/>
    <w:rsid w:val="00940B00"/>
    <w:rsid w:val="00940C28"/>
    <w:rsid w:val="009415DB"/>
    <w:rsid w:val="0094198F"/>
    <w:rsid w:val="00941B5A"/>
    <w:rsid w:val="00941FF9"/>
    <w:rsid w:val="009424B9"/>
    <w:rsid w:val="00942B16"/>
    <w:rsid w:val="00942E68"/>
    <w:rsid w:val="00943206"/>
    <w:rsid w:val="009433B3"/>
    <w:rsid w:val="009435B3"/>
    <w:rsid w:val="009442C2"/>
    <w:rsid w:val="00944485"/>
    <w:rsid w:val="009445EB"/>
    <w:rsid w:val="00944EDC"/>
    <w:rsid w:val="00944F58"/>
    <w:rsid w:val="00945088"/>
    <w:rsid w:val="0094579B"/>
    <w:rsid w:val="00945BFA"/>
    <w:rsid w:val="00945DAE"/>
    <w:rsid w:val="009460DF"/>
    <w:rsid w:val="00946519"/>
    <w:rsid w:val="0094655A"/>
    <w:rsid w:val="00946940"/>
    <w:rsid w:val="0094735F"/>
    <w:rsid w:val="009474C0"/>
    <w:rsid w:val="00950F1E"/>
    <w:rsid w:val="009525D0"/>
    <w:rsid w:val="0095278F"/>
    <w:rsid w:val="009527CD"/>
    <w:rsid w:val="00952C62"/>
    <w:rsid w:val="0095319B"/>
    <w:rsid w:val="00953839"/>
    <w:rsid w:val="00953BBF"/>
    <w:rsid w:val="00955064"/>
    <w:rsid w:val="00955543"/>
    <w:rsid w:val="00955634"/>
    <w:rsid w:val="00955879"/>
    <w:rsid w:val="0095624F"/>
    <w:rsid w:val="009606DC"/>
    <w:rsid w:val="0096074A"/>
    <w:rsid w:val="009608B9"/>
    <w:rsid w:val="00960BCA"/>
    <w:rsid w:val="00960DC1"/>
    <w:rsid w:val="00960F58"/>
    <w:rsid w:val="009611FF"/>
    <w:rsid w:val="00961278"/>
    <w:rsid w:val="00961495"/>
    <w:rsid w:val="009614CC"/>
    <w:rsid w:val="00961543"/>
    <w:rsid w:val="00961985"/>
    <w:rsid w:val="009620B6"/>
    <w:rsid w:val="00962B6E"/>
    <w:rsid w:val="009640AC"/>
    <w:rsid w:val="00964272"/>
    <w:rsid w:val="0096428F"/>
    <w:rsid w:val="009644CF"/>
    <w:rsid w:val="0096461B"/>
    <w:rsid w:val="0096484D"/>
    <w:rsid w:val="00964A80"/>
    <w:rsid w:val="00965773"/>
    <w:rsid w:val="00965A76"/>
    <w:rsid w:val="00965BCF"/>
    <w:rsid w:val="00965C37"/>
    <w:rsid w:val="009662E1"/>
    <w:rsid w:val="0096638D"/>
    <w:rsid w:val="0096671D"/>
    <w:rsid w:val="00967670"/>
    <w:rsid w:val="00967CA1"/>
    <w:rsid w:val="00970214"/>
    <w:rsid w:val="00970592"/>
    <w:rsid w:val="00970852"/>
    <w:rsid w:val="0097128A"/>
    <w:rsid w:val="009714FD"/>
    <w:rsid w:val="00971BD4"/>
    <w:rsid w:val="009720E9"/>
    <w:rsid w:val="0097266E"/>
    <w:rsid w:val="0097283E"/>
    <w:rsid w:val="0097311B"/>
    <w:rsid w:val="00974D77"/>
    <w:rsid w:val="00974E5D"/>
    <w:rsid w:val="00975035"/>
    <w:rsid w:val="00975675"/>
    <w:rsid w:val="00975FC1"/>
    <w:rsid w:val="009764FC"/>
    <w:rsid w:val="00976586"/>
    <w:rsid w:val="00976738"/>
    <w:rsid w:val="0097674F"/>
    <w:rsid w:val="009769D4"/>
    <w:rsid w:val="00977949"/>
    <w:rsid w:val="00977BC1"/>
    <w:rsid w:val="009803DB"/>
    <w:rsid w:val="0098175A"/>
    <w:rsid w:val="009828AA"/>
    <w:rsid w:val="00983A1F"/>
    <w:rsid w:val="00983E75"/>
    <w:rsid w:val="00984011"/>
    <w:rsid w:val="0098404A"/>
    <w:rsid w:val="00984332"/>
    <w:rsid w:val="00985661"/>
    <w:rsid w:val="009862F7"/>
    <w:rsid w:val="00986520"/>
    <w:rsid w:val="009867A4"/>
    <w:rsid w:val="00986BDE"/>
    <w:rsid w:val="00986F68"/>
    <w:rsid w:val="00987455"/>
    <w:rsid w:val="009877BB"/>
    <w:rsid w:val="0098792C"/>
    <w:rsid w:val="00987ECC"/>
    <w:rsid w:val="009904A2"/>
    <w:rsid w:val="0099163A"/>
    <w:rsid w:val="00991DEF"/>
    <w:rsid w:val="00991F0B"/>
    <w:rsid w:val="009934B0"/>
    <w:rsid w:val="00993E70"/>
    <w:rsid w:val="00993F71"/>
    <w:rsid w:val="00995094"/>
    <w:rsid w:val="00996114"/>
    <w:rsid w:val="00996675"/>
    <w:rsid w:val="00996AAC"/>
    <w:rsid w:val="009978AD"/>
    <w:rsid w:val="00997B37"/>
    <w:rsid w:val="00997E2F"/>
    <w:rsid w:val="009A07ED"/>
    <w:rsid w:val="009A0C2D"/>
    <w:rsid w:val="009A179F"/>
    <w:rsid w:val="009A18F1"/>
    <w:rsid w:val="009A23CF"/>
    <w:rsid w:val="009A246D"/>
    <w:rsid w:val="009A33BA"/>
    <w:rsid w:val="009A3F94"/>
    <w:rsid w:val="009A4216"/>
    <w:rsid w:val="009A45A6"/>
    <w:rsid w:val="009A4705"/>
    <w:rsid w:val="009A4962"/>
    <w:rsid w:val="009A4DB1"/>
    <w:rsid w:val="009A5A43"/>
    <w:rsid w:val="009A5C64"/>
    <w:rsid w:val="009A6197"/>
    <w:rsid w:val="009A620C"/>
    <w:rsid w:val="009A696E"/>
    <w:rsid w:val="009A6C6F"/>
    <w:rsid w:val="009A70C4"/>
    <w:rsid w:val="009A7444"/>
    <w:rsid w:val="009B01B3"/>
    <w:rsid w:val="009B02E7"/>
    <w:rsid w:val="009B04D1"/>
    <w:rsid w:val="009B054B"/>
    <w:rsid w:val="009B0B91"/>
    <w:rsid w:val="009B0EA1"/>
    <w:rsid w:val="009B0F09"/>
    <w:rsid w:val="009B1973"/>
    <w:rsid w:val="009B1DDD"/>
    <w:rsid w:val="009B1E2B"/>
    <w:rsid w:val="009B20A3"/>
    <w:rsid w:val="009B2128"/>
    <w:rsid w:val="009B24C7"/>
    <w:rsid w:val="009B25A0"/>
    <w:rsid w:val="009B282B"/>
    <w:rsid w:val="009B2D2F"/>
    <w:rsid w:val="009B31F9"/>
    <w:rsid w:val="009B33EE"/>
    <w:rsid w:val="009B375B"/>
    <w:rsid w:val="009B3F4C"/>
    <w:rsid w:val="009B42D4"/>
    <w:rsid w:val="009B4521"/>
    <w:rsid w:val="009B4BBC"/>
    <w:rsid w:val="009B4F5B"/>
    <w:rsid w:val="009B5599"/>
    <w:rsid w:val="009B57B7"/>
    <w:rsid w:val="009B5D1D"/>
    <w:rsid w:val="009B60C4"/>
    <w:rsid w:val="009B655D"/>
    <w:rsid w:val="009B66C7"/>
    <w:rsid w:val="009B6FA7"/>
    <w:rsid w:val="009B75FF"/>
    <w:rsid w:val="009C0211"/>
    <w:rsid w:val="009C0524"/>
    <w:rsid w:val="009C11F5"/>
    <w:rsid w:val="009C172B"/>
    <w:rsid w:val="009C2E29"/>
    <w:rsid w:val="009C302B"/>
    <w:rsid w:val="009C35C2"/>
    <w:rsid w:val="009C3BBD"/>
    <w:rsid w:val="009C4EE4"/>
    <w:rsid w:val="009C50B5"/>
    <w:rsid w:val="009C5B4B"/>
    <w:rsid w:val="009C5D0F"/>
    <w:rsid w:val="009C5E8E"/>
    <w:rsid w:val="009C66A5"/>
    <w:rsid w:val="009D01AA"/>
    <w:rsid w:val="009D0427"/>
    <w:rsid w:val="009D105A"/>
    <w:rsid w:val="009D1603"/>
    <w:rsid w:val="009D29D4"/>
    <w:rsid w:val="009D2E08"/>
    <w:rsid w:val="009D3094"/>
    <w:rsid w:val="009D34F1"/>
    <w:rsid w:val="009D386D"/>
    <w:rsid w:val="009D3CC1"/>
    <w:rsid w:val="009D42F2"/>
    <w:rsid w:val="009D48EB"/>
    <w:rsid w:val="009D4960"/>
    <w:rsid w:val="009D4ED1"/>
    <w:rsid w:val="009D564A"/>
    <w:rsid w:val="009D61C4"/>
    <w:rsid w:val="009D70E0"/>
    <w:rsid w:val="009D70E2"/>
    <w:rsid w:val="009D72AA"/>
    <w:rsid w:val="009D777B"/>
    <w:rsid w:val="009D799C"/>
    <w:rsid w:val="009D7B7F"/>
    <w:rsid w:val="009D7C7A"/>
    <w:rsid w:val="009D7E6E"/>
    <w:rsid w:val="009E0D45"/>
    <w:rsid w:val="009E0F69"/>
    <w:rsid w:val="009E11B5"/>
    <w:rsid w:val="009E121C"/>
    <w:rsid w:val="009E134B"/>
    <w:rsid w:val="009E1E78"/>
    <w:rsid w:val="009E1ED1"/>
    <w:rsid w:val="009E20D7"/>
    <w:rsid w:val="009E2468"/>
    <w:rsid w:val="009E2AED"/>
    <w:rsid w:val="009E2BA8"/>
    <w:rsid w:val="009E2CF8"/>
    <w:rsid w:val="009E3038"/>
    <w:rsid w:val="009E3208"/>
    <w:rsid w:val="009E3408"/>
    <w:rsid w:val="009E3435"/>
    <w:rsid w:val="009E3462"/>
    <w:rsid w:val="009E35A0"/>
    <w:rsid w:val="009E40CB"/>
    <w:rsid w:val="009E421A"/>
    <w:rsid w:val="009E4E22"/>
    <w:rsid w:val="009E4FB9"/>
    <w:rsid w:val="009E508D"/>
    <w:rsid w:val="009E61EE"/>
    <w:rsid w:val="009E62A6"/>
    <w:rsid w:val="009E6422"/>
    <w:rsid w:val="009E66C4"/>
    <w:rsid w:val="009E68D0"/>
    <w:rsid w:val="009E6AFF"/>
    <w:rsid w:val="009E75FF"/>
    <w:rsid w:val="009E7C8E"/>
    <w:rsid w:val="009F015C"/>
    <w:rsid w:val="009F0AD3"/>
    <w:rsid w:val="009F190C"/>
    <w:rsid w:val="009F2968"/>
    <w:rsid w:val="009F2A10"/>
    <w:rsid w:val="009F39B0"/>
    <w:rsid w:val="009F4094"/>
    <w:rsid w:val="009F4107"/>
    <w:rsid w:val="009F45DA"/>
    <w:rsid w:val="009F4941"/>
    <w:rsid w:val="009F4998"/>
    <w:rsid w:val="009F4EFE"/>
    <w:rsid w:val="009F4F5C"/>
    <w:rsid w:val="009F52E5"/>
    <w:rsid w:val="009F5963"/>
    <w:rsid w:val="009F5BF9"/>
    <w:rsid w:val="009F5EDE"/>
    <w:rsid w:val="009F5FFE"/>
    <w:rsid w:val="009F6D07"/>
    <w:rsid w:val="009F72C6"/>
    <w:rsid w:val="009F7A0A"/>
    <w:rsid w:val="00A00396"/>
    <w:rsid w:val="00A00ACA"/>
    <w:rsid w:val="00A00D91"/>
    <w:rsid w:val="00A00DF8"/>
    <w:rsid w:val="00A00E34"/>
    <w:rsid w:val="00A01163"/>
    <w:rsid w:val="00A01355"/>
    <w:rsid w:val="00A01502"/>
    <w:rsid w:val="00A02345"/>
    <w:rsid w:val="00A02BDF"/>
    <w:rsid w:val="00A03EB9"/>
    <w:rsid w:val="00A04448"/>
    <w:rsid w:val="00A05085"/>
    <w:rsid w:val="00A05211"/>
    <w:rsid w:val="00A052A2"/>
    <w:rsid w:val="00A053DB"/>
    <w:rsid w:val="00A056BF"/>
    <w:rsid w:val="00A0585A"/>
    <w:rsid w:val="00A0587E"/>
    <w:rsid w:val="00A06040"/>
    <w:rsid w:val="00A06847"/>
    <w:rsid w:val="00A06E62"/>
    <w:rsid w:val="00A06ED4"/>
    <w:rsid w:val="00A07E56"/>
    <w:rsid w:val="00A10258"/>
    <w:rsid w:val="00A104C9"/>
    <w:rsid w:val="00A109B4"/>
    <w:rsid w:val="00A11068"/>
    <w:rsid w:val="00A115AE"/>
    <w:rsid w:val="00A11CA2"/>
    <w:rsid w:val="00A122E8"/>
    <w:rsid w:val="00A126ED"/>
    <w:rsid w:val="00A129F9"/>
    <w:rsid w:val="00A133A1"/>
    <w:rsid w:val="00A13F66"/>
    <w:rsid w:val="00A1467C"/>
    <w:rsid w:val="00A1471D"/>
    <w:rsid w:val="00A1478D"/>
    <w:rsid w:val="00A14933"/>
    <w:rsid w:val="00A1528B"/>
    <w:rsid w:val="00A1574F"/>
    <w:rsid w:val="00A15C1D"/>
    <w:rsid w:val="00A16A58"/>
    <w:rsid w:val="00A17C6E"/>
    <w:rsid w:val="00A17ED3"/>
    <w:rsid w:val="00A2096A"/>
    <w:rsid w:val="00A21B69"/>
    <w:rsid w:val="00A21B99"/>
    <w:rsid w:val="00A224E0"/>
    <w:rsid w:val="00A22DBA"/>
    <w:rsid w:val="00A23269"/>
    <w:rsid w:val="00A233E8"/>
    <w:rsid w:val="00A23DA1"/>
    <w:rsid w:val="00A2418A"/>
    <w:rsid w:val="00A24210"/>
    <w:rsid w:val="00A242D5"/>
    <w:rsid w:val="00A24FFF"/>
    <w:rsid w:val="00A26329"/>
    <w:rsid w:val="00A26428"/>
    <w:rsid w:val="00A264A0"/>
    <w:rsid w:val="00A26A39"/>
    <w:rsid w:val="00A26CB8"/>
    <w:rsid w:val="00A270F3"/>
    <w:rsid w:val="00A274DD"/>
    <w:rsid w:val="00A300F9"/>
    <w:rsid w:val="00A306D0"/>
    <w:rsid w:val="00A30A8F"/>
    <w:rsid w:val="00A30D1C"/>
    <w:rsid w:val="00A3143D"/>
    <w:rsid w:val="00A315A8"/>
    <w:rsid w:val="00A315F8"/>
    <w:rsid w:val="00A31E7D"/>
    <w:rsid w:val="00A32082"/>
    <w:rsid w:val="00A32D4E"/>
    <w:rsid w:val="00A333BB"/>
    <w:rsid w:val="00A33578"/>
    <w:rsid w:val="00A33827"/>
    <w:rsid w:val="00A33AED"/>
    <w:rsid w:val="00A33F3D"/>
    <w:rsid w:val="00A342E3"/>
    <w:rsid w:val="00A34601"/>
    <w:rsid w:val="00A354DB"/>
    <w:rsid w:val="00A35728"/>
    <w:rsid w:val="00A35B08"/>
    <w:rsid w:val="00A35B1C"/>
    <w:rsid w:val="00A35C6D"/>
    <w:rsid w:val="00A360DA"/>
    <w:rsid w:val="00A36240"/>
    <w:rsid w:val="00A3690C"/>
    <w:rsid w:val="00A40793"/>
    <w:rsid w:val="00A40BA5"/>
    <w:rsid w:val="00A410DA"/>
    <w:rsid w:val="00A42AE4"/>
    <w:rsid w:val="00A42EBB"/>
    <w:rsid w:val="00A43A0C"/>
    <w:rsid w:val="00A43C9C"/>
    <w:rsid w:val="00A43D30"/>
    <w:rsid w:val="00A441DA"/>
    <w:rsid w:val="00A4478B"/>
    <w:rsid w:val="00A44B15"/>
    <w:rsid w:val="00A45D6A"/>
    <w:rsid w:val="00A460B2"/>
    <w:rsid w:val="00A464A0"/>
    <w:rsid w:val="00A46758"/>
    <w:rsid w:val="00A467FB"/>
    <w:rsid w:val="00A46D11"/>
    <w:rsid w:val="00A46D98"/>
    <w:rsid w:val="00A46DF9"/>
    <w:rsid w:val="00A46E87"/>
    <w:rsid w:val="00A47464"/>
    <w:rsid w:val="00A476BA"/>
    <w:rsid w:val="00A50A17"/>
    <w:rsid w:val="00A518C3"/>
    <w:rsid w:val="00A51B55"/>
    <w:rsid w:val="00A51D42"/>
    <w:rsid w:val="00A53E28"/>
    <w:rsid w:val="00A53FD1"/>
    <w:rsid w:val="00A548BA"/>
    <w:rsid w:val="00A549EF"/>
    <w:rsid w:val="00A55DEA"/>
    <w:rsid w:val="00A561D1"/>
    <w:rsid w:val="00A5623F"/>
    <w:rsid w:val="00A56538"/>
    <w:rsid w:val="00A56672"/>
    <w:rsid w:val="00A56835"/>
    <w:rsid w:val="00A56F63"/>
    <w:rsid w:val="00A570A9"/>
    <w:rsid w:val="00A5732F"/>
    <w:rsid w:val="00A57D2A"/>
    <w:rsid w:val="00A57F78"/>
    <w:rsid w:val="00A6005D"/>
    <w:rsid w:val="00A605FF"/>
    <w:rsid w:val="00A613C9"/>
    <w:rsid w:val="00A62C03"/>
    <w:rsid w:val="00A6343D"/>
    <w:rsid w:val="00A638B8"/>
    <w:rsid w:val="00A63F71"/>
    <w:rsid w:val="00A640B7"/>
    <w:rsid w:val="00A64362"/>
    <w:rsid w:val="00A64936"/>
    <w:rsid w:val="00A64C93"/>
    <w:rsid w:val="00A6562C"/>
    <w:rsid w:val="00A65AAC"/>
    <w:rsid w:val="00A66F35"/>
    <w:rsid w:val="00A66F44"/>
    <w:rsid w:val="00A67190"/>
    <w:rsid w:val="00A67313"/>
    <w:rsid w:val="00A67990"/>
    <w:rsid w:val="00A67A70"/>
    <w:rsid w:val="00A70261"/>
    <w:rsid w:val="00A7046D"/>
    <w:rsid w:val="00A71064"/>
    <w:rsid w:val="00A7112B"/>
    <w:rsid w:val="00A71B34"/>
    <w:rsid w:val="00A7205E"/>
    <w:rsid w:val="00A721FE"/>
    <w:rsid w:val="00A724F0"/>
    <w:rsid w:val="00A7262A"/>
    <w:rsid w:val="00A72C6F"/>
    <w:rsid w:val="00A72F7C"/>
    <w:rsid w:val="00A7312A"/>
    <w:rsid w:val="00A73746"/>
    <w:rsid w:val="00A73977"/>
    <w:rsid w:val="00A7495A"/>
    <w:rsid w:val="00A750C6"/>
    <w:rsid w:val="00A7526B"/>
    <w:rsid w:val="00A75526"/>
    <w:rsid w:val="00A758DF"/>
    <w:rsid w:val="00A75AEF"/>
    <w:rsid w:val="00A75B35"/>
    <w:rsid w:val="00A7664C"/>
    <w:rsid w:val="00A77024"/>
    <w:rsid w:val="00A77281"/>
    <w:rsid w:val="00A779CA"/>
    <w:rsid w:val="00A779F0"/>
    <w:rsid w:val="00A77E37"/>
    <w:rsid w:val="00A8010B"/>
    <w:rsid w:val="00A80173"/>
    <w:rsid w:val="00A8039E"/>
    <w:rsid w:val="00A805B0"/>
    <w:rsid w:val="00A80784"/>
    <w:rsid w:val="00A80DFA"/>
    <w:rsid w:val="00A81405"/>
    <w:rsid w:val="00A822A6"/>
    <w:rsid w:val="00A82CF7"/>
    <w:rsid w:val="00A831B9"/>
    <w:rsid w:val="00A83649"/>
    <w:rsid w:val="00A83D67"/>
    <w:rsid w:val="00A840B4"/>
    <w:rsid w:val="00A84303"/>
    <w:rsid w:val="00A844D3"/>
    <w:rsid w:val="00A84AD1"/>
    <w:rsid w:val="00A84E60"/>
    <w:rsid w:val="00A85B86"/>
    <w:rsid w:val="00A85E33"/>
    <w:rsid w:val="00A8651A"/>
    <w:rsid w:val="00A866B3"/>
    <w:rsid w:val="00A8693B"/>
    <w:rsid w:val="00A86ABA"/>
    <w:rsid w:val="00A87111"/>
    <w:rsid w:val="00A904FF"/>
    <w:rsid w:val="00A91316"/>
    <w:rsid w:val="00A9132C"/>
    <w:rsid w:val="00A91B29"/>
    <w:rsid w:val="00A91B4D"/>
    <w:rsid w:val="00A929CE"/>
    <w:rsid w:val="00A92ABD"/>
    <w:rsid w:val="00A933CE"/>
    <w:rsid w:val="00A93923"/>
    <w:rsid w:val="00A9395E"/>
    <w:rsid w:val="00A94655"/>
    <w:rsid w:val="00A946EF"/>
    <w:rsid w:val="00A94F1D"/>
    <w:rsid w:val="00A94FDA"/>
    <w:rsid w:val="00A951B6"/>
    <w:rsid w:val="00A95C09"/>
    <w:rsid w:val="00A96C3A"/>
    <w:rsid w:val="00A9710E"/>
    <w:rsid w:val="00A97C35"/>
    <w:rsid w:val="00A97DE7"/>
    <w:rsid w:val="00A97E23"/>
    <w:rsid w:val="00AA029E"/>
    <w:rsid w:val="00AA04EA"/>
    <w:rsid w:val="00AA2060"/>
    <w:rsid w:val="00AA2906"/>
    <w:rsid w:val="00AA35C6"/>
    <w:rsid w:val="00AA3887"/>
    <w:rsid w:val="00AA4001"/>
    <w:rsid w:val="00AA4323"/>
    <w:rsid w:val="00AA452F"/>
    <w:rsid w:val="00AA4B11"/>
    <w:rsid w:val="00AA4EA0"/>
    <w:rsid w:val="00AA605E"/>
    <w:rsid w:val="00AA6502"/>
    <w:rsid w:val="00AA7699"/>
    <w:rsid w:val="00AB03FF"/>
    <w:rsid w:val="00AB0B7D"/>
    <w:rsid w:val="00AB0CD3"/>
    <w:rsid w:val="00AB12EC"/>
    <w:rsid w:val="00AB2160"/>
    <w:rsid w:val="00AB324A"/>
    <w:rsid w:val="00AB394D"/>
    <w:rsid w:val="00AB3C95"/>
    <w:rsid w:val="00AB3EFB"/>
    <w:rsid w:val="00AB4272"/>
    <w:rsid w:val="00AB44DA"/>
    <w:rsid w:val="00AB4AAD"/>
    <w:rsid w:val="00AB4E0A"/>
    <w:rsid w:val="00AB50C3"/>
    <w:rsid w:val="00AB5994"/>
    <w:rsid w:val="00AB637B"/>
    <w:rsid w:val="00AB6422"/>
    <w:rsid w:val="00AB6FA1"/>
    <w:rsid w:val="00AB75D4"/>
    <w:rsid w:val="00AC00BA"/>
    <w:rsid w:val="00AC0BA1"/>
    <w:rsid w:val="00AC0FB7"/>
    <w:rsid w:val="00AC1289"/>
    <w:rsid w:val="00AC162B"/>
    <w:rsid w:val="00AC192C"/>
    <w:rsid w:val="00AC2E18"/>
    <w:rsid w:val="00AC2ED2"/>
    <w:rsid w:val="00AC2F9D"/>
    <w:rsid w:val="00AC3336"/>
    <w:rsid w:val="00AC33B6"/>
    <w:rsid w:val="00AC394B"/>
    <w:rsid w:val="00AC4484"/>
    <w:rsid w:val="00AC459A"/>
    <w:rsid w:val="00AC47F3"/>
    <w:rsid w:val="00AC4A45"/>
    <w:rsid w:val="00AC4A4B"/>
    <w:rsid w:val="00AC5DE8"/>
    <w:rsid w:val="00AC6DBA"/>
    <w:rsid w:val="00AC6FA2"/>
    <w:rsid w:val="00AC7DF0"/>
    <w:rsid w:val="00AD0481"/>
    <w:rsid w:val="00AD06B7"/>
    <w:rsid w:val="00AD12F1"/>
    <w:rsid w:val="00AD18F6"/>
    <w:rsid w:val="00AD1B69"/>
    <w:rsid w:val="00AD1B89"/>
    <w:rsid w:val="00AD221E"/>
    <w:rsid w:val="00AD2CB7"/>
    <w:rsid w:val="00AD2EFA"/>
    <w:rsid w:val="00AD37CF"/>
    <w:rsid w:val="00AD402A"/>
    <w:rsid w:val="00AD4B73"/>
    <w:rsid w:val="00AD4CA9"/>
    <w:rsid w:val="00AD563C"/>
    <w:rsid w:val="00AD5DF3"/>
    <w:rsid w:val="00AD67C0"/>
    <w:rsid w:val="00AD7551"/>
    <w:rsid w:val="00AD7AD7"/>
    <w:rsid w:val="00AD7FBE"/>
    <w:rsid w:val="00AE009D"/>
    <w:rsid w:val="00AE03D8"/>
    <w:rsid w:val="00AE1BA7"/>
    <w:rsid w:val="00AE217B"/>
    <w:rsid w:val="00AE24BF"/>
    <w:rsid w:val="00AE2781"/>
    <w:rsid w:val="00AE2AA3"/>
    <w:rsid w:val="00AE2E7A"/>
    <w:rsid w:val="00AE308C"/>
    <w:rsid w:val="00AE3115"/>
    <w:rsid w:val="00AE3363"/>
    <w:rsid w:val="00AE389B"/>
    <w:rsid w:val="00AE44A0"/>
    <w:rsid w:val="00AE4D9A"/>
    <w:rsid w:val="00AE5298"/>
    <w:rsid w:val="00AE559A"/>
    <w:rsid w:val="00AE5A8F"/>
    <w:rsid w:val="00AE5DD5"/>
    <w:rsid w:val="00AE5F64"/>
    <w:rsid w:val="00AE6400"/>
    <w:rsid w:val="00AE643E"/>
    <w:rsid w:val="00AE65EE"/>
    <w:rsid w:val="00AE77A5"/>
    <w:rsid w:val="00AE7A32"/>
    <w:rsid w:val="00AE7BF3"/>
    <w:rsid w:val="00AE7D4D"/>
    <w:rsid w:val="00AF06AD"/>
    <w:rsid w:val="00AF0A36"/>
    <w:rsid w:val="00AF0CB3"/>
    <w:rsid w:val="00AF0CB9"/>
    <w:rsid w:val="00AF0D17"/>
    <w:rsid w:val="00AF116A"/>
    <w:rsid w:val="00AF1273"/>
    <w:rsid w:val="00AF167F"/>
    <w:rsid w:val="00AF17B3"/>
    <w:rsid w:val="00AF1DEB"/>
    <w:rsid w:val="00AF2852"/>
    <w:rsid w:val="00AF2DFC"/>
    <w:rsid w:val="00AF3492"/>
    <w:rsid w:val="00AF3615"/>
    <w:rsid w:val="00AF3628"/>
    <w:rsid w:val="00AF3977"/>
    <w:rsid w:val="00AF46EE"/>
    <w:rsid w:val="00AF4DA6"/>
    <w:rsid w:val="00AF5391"/>
    <w:rsid w:val="00AF5A2F"/>
    <w:rsid w:val="00AF69E8"/>
    <w:rsid w:val="00AF6E42"/>
    <w:rsid w:val="00AF6FB1"/>
    <w:rsid w:val="00AF7007"/>
    <w:rsid w:val="00AF747C"/>
    <w:rsid w:val="00AF7712"/>
    <w:rsid w:val="00B0072A"/>
    <w:rsid w:val="00B00A27"/>
    <w:rsid w:val="00B00C02"/>
    <w:rsid w:val="00B00F68"/>
    <w:rsid w:val="00B01548"/>
    <w:rsid w:val="00B01A6F"/>
    <w:rsid w:val="00B01C81"/>
    <w:rsid w:val="00B020F5"/>
    <w:rsid w:val="00B026AB"/>
    <w:rsid w:val="00B02755"/>
    <w:rsid w:val="00B04794"/>
    <w:rsid w:val="00B04844"/>
    <w:rsid w:val="00B04AB1"/>
    <w:rsid w:val="00B05513"/>
    <w:rsid w:val="00B05567"/>
    <w:rsid w:val="00B0562A"/>
    <w:rsid w:val="00B05D64"/>
    <w:rsid w:val="00B068A8"/>
    <w:rsid w:val="00B07EDE"/>
    <w:rsid w:val="00B10238"/>
    <w:rsid w:val="00B102A9"/>
    <w:rsid w:val="00B10A70"/>
    <w:rsid w:val="00B10D22"/>
    <w:rsid w:val="00B11505"/>
    <w:rsid w:val="00B11AA5"/>
    <w:rsid w:val="00B126FC"/>
    <w:rsid w:val="00B128C2"/>
    <w:rsid w:val="00B1446E"/>
    <w:rsid w:val="00B14539"/>
    <w:rsid w:val="00B14609"/>
    <w:rsid w:val="00B14A94"/>
    <w:rsid w:val="00B14B59"/>
    <w:rsid w:val="00B14D46"/>
    <w:rsid w:val="00B15069"/>
    <w:rsid w:val="00B15915"/>
    <w:rsid w:val="00B16307"/>
    <w:rsid w:val="00B164AE"/>
    <w:rsid w:val="00B16A99"/>
    <w:rsid w:val="00B16FB1"/>
    <w:rsid w:val="00B171C7"/>
    <w:rsid w:val="00B179FF"/>
    <w:rsid w:val="00B17CAD"/>
    <w:rsid w:val="00B208E6"/>
    <w:rsid w:val="00B20FD4"/>
    <w:rsid w:val="00B21310"/>
    <w:rsid w:val="00B21EDD"/>
    <w:rsid w:val="00B22075"/>
    <w:rsid w:val="00B224CE"/>
    <w:rsid w:val="00B22D51"/>
    <w:rsid w:val="00B23B02"/>
    <w:rsid w:val="00B24C09"/>
    <w:rsid w:val="00B24FA5"/>
    <w:rsid w:val="00B2581D"/>
    <w:rsid w:val="00B25C98"/>
    <w:rsid w:val="00B262CA"/>
    <w:rsid w:val="00B264A6"/>
    <w:rsid w:val="00B267F8"/>
    <w:rsid w:val="00B27414"/>
    <w:rsid w:val="00B27464"/>
    <w:rsid w:val="00B27DA3"/>
    <w:rsid w:val="00B27F7A"/>
    <w:rsid w:val="00B30153"/>
    <w:rsid w:val="00B3024D"/>
    <w:rsid w:val="00B30359"/>
    <w:rsid w:val="00B31A2A"/>
    <w:rsid w:val="00B31B24"/>
    <w:rsid w:val="00B32115"/>
    <w:rsid w:val="00B32149"/>
    <w:rsid w:val="00B32D02"/>
    <w:rsid w:val="00B32E93"/>
    <w:rsid w:val="00B331E4"/>
    <w:rsid w:val="00B3371F"/>
    <w:rsid w:val="00B33B42"/>
    <w:rsid w:val="00B33B4F"/>
    <w:rsid w:val="00B34D78"/>
    <w:rsid w:val="00B37005"/>
    <w:rsid w:val="00B37240"/>
    <w:rsid w:val="00B3746B"/>
    <w:rsid w:val="00B375E3"/>
    <w:rsid w:val="00B37EB5"/>
    <w:rsid w:val="00B40B26"/>
    <w:rsid w:val="00B40C4E"/>
    <w:rsid w:val="00B4125D"/>
    <w:rsid w:val="00B41BEA"/>
    <w:rsid w:val="00B41C08"/>
    <w:rsid w:val="00B41FDA"/>
    <w:rsid w:val="00B4225C"/>
    <w:rsid w:val="00B424BA"/>
    <w:rsid w:val="00B42A22"/>
    <w:rsid w:val="00B43166"/>
    <w:rsid w:val="00B4388F"/>
    <w:rsid w:val="00B44B74"/>
    <w:rsid w:val="00B450A4"/>
    <w:rsid w:val="00B452AD"/>
    <w:rsid w:val="00B45500"/>
    <w:rsid w:val="00B4704F"/>
    <w:rsid w:val="00B50687"/>
    <w:rsid w:val="00B50C0E"/>
    <w:rsid w:val="00B50EA9"/>
    <w:rsid w:val="00B511FA"/>
    <w:rsid w:val="00B5196E"/>
    <w:rsid w:val="00B52089"/>
    <w:rsid w:val="00B52609"/>
    <w:rsid w:val="00B52DC3"/>
    <w:rsid w:val="00B52FA6"/>
    <w:rsid w:val="00B53BB9"/>
    <w:rsid w:val="00B54079"/>
    <w:rsid w:val="00B54224"/>
    <w:rsid w:val="00B5486C"/>
    <w:rsid w:val="00B548B5"/>
    <w:rsid w:val="00B548F6"/>
    <w:rsid w:val="00B54F15"/>
    <w:rsid w:val="00B55007"/>
    <w:rsid w:val="00B553FF"/>
    <w:rsid w:val="00B55586"/>
    <w:rsid w:val="00B55D7A"/>
    <w:rsid w:val="00B5709F"/>
    <w:rsid w:val="00B57487"/>
    <w:rsid w:val="00B57BD0"/>
    <w:rsid w:val="00B57F65"/>
    <w:rsid w:val="00B6120C"/>
    <w:rsid w:val="00B612F7"/>
    <w:rsid w:val="00B6135C"/>
    <w:rsid w:val="00B61DED"/>
    <w:rsid w:val="00B62193"/>
    <w:rsid w:val="00B622FC"/>
    <w:rsid w:val="00B626A6"/>
    <w:rsid w:val="00B62898"/>
    <w:rsid w:val="00B63386"/>
    <w:rsid w:val="00B64D55"/>
    <w:rsid w:val="00B6568E"/>
    <w:rsid w:val="00B65C06"/>
    <w:rsid w:val="00B65FBB"/>
    <w:rsid w:val="00B66B37"/>
    <w:rsid w:val="00B6710D"/>
    <w:rsid w:val="00B67376"/>
    <w:rsid w:val="00B67383"/>
    <w:rsid w:val="00B67916"/>
    <w:rsid w:val="00B67AAD"/>
    <w:rsid w:val="00B7039F"/>
    <w:rsid w:val="00B70698"/>
    <w:rsid w:val="00B70726"/>
    <w:rsid w:val="00B70789"/>
    <w:rsid w:val="00B7096F"/>
    <w:rsid w:val="00B70DF4"/>
    <w:rsid w:val="00B716C1"/>
    <w:rsid w:val="00B718AD"/>
    <w:rsid w:val="00B71D5A"/>
    <w:rsid w:val="00B724F4"/>
    <w:rsid w:val="00B729CF"/>
    <w:rsid w:val="00B72B90"/>
    <w:rsid w:val="00B72E3B"/>
    <w:rsid w:val="00B73582"/>
    <w:rsid w:val="00B739A1"/>
    <w:rsid w:val="00B73E7A"/>
    <w:rsid w:val="00B73F5E"/>
    <w:rsid w:val="00B73FBB"/>
    <w:rsid w:val="00B7477A"/>
    <w:rsid w:val="00B75DFD"/>
    <w:rsid w:val="00B762C7"/>
    <w:rsid w:val="00B768DF"/>
    <w:rsid w:val="00B7743A"/>
    <w:rsid w:val="00B779A7"/>
    <w:rsid w:val="00B77A6B"/>
    <w:rsid w:val="00B77CC7"/>
    <w:rsid w:val="00B77D0C"/>
    <w:rsid w:val="00B80633"/>
    <w:rsid w:val="00B80F42"/>
    <w:rsid w:val="00B8156D"/>
    <w:rsid w:val="00B81590"/>
    <w:rsid w:val="00B816B1"/>
    <w:rsid w:val="00B817B0"/>
    <w:rsid w:val="00B81E95"/>
    <w:rsid w:val="00B8367D"/>
    <w:rsid w:val="00B83ACE"/>
    <w:rsid w:val="00B847C6"/>
    <w:rsid w:val="00B84A09"/>
    <w:rsid w:val="00B84D66"/>
    <w:rsid w:val="00B85352"/>
    <w:rsid w:val="00B853CA"/>
    <w:rsid w:val="00B86042"/>
    <w:rsid w:val="00B86256"/>
    <w:rsid w:val="00B8662C"/>
    <w:rsid w:val="00B868EA"/>
    <w:rsid w:val="00B8695B"/>
    <w:rsid w:val="00B86BA7"/>
    <w:rsid w:val="00B87533"/>
    <w:rsid w:val="00B877BF"/>
    <w:rsid w:val="00B87BAA"/>
    <w:rsid w:val="00B90194"/>
    <w:rsid w:val="00B90956"/>
    <w:rsid w:val="00B918B4"/>
    <w:rsid w:val="00B92431"/>
    <w:rsid w:val="00B93536"/>
    <w:rsid w:val="00B9366E"/>
    <w:rsid w:val="00B93671"/>
    <w:rsid w:val="00B93E84"/>
    <w:rsid w:val="00B93E8C"/>
    <w:rsid w:val="00B9416E"/>
    <w:rsid w:val="00B94667"/>
    <w:rsid w:val="00B948D2"/>
    <w:rsid w:val="00B94A43"/>
    <w:rsid w:val="00B94E0C"/>
    <w:rsid w:val="00B94E5A"/>
    <w:rsid w:val="00B95091"/>
    <w:rsid w:val="00B95262"/>
    <w:rsid w:val="00B95823"/>
    <w:rsid w:val="00B96085"/>
    <w:rsid w:val="00B9617A"/>
    <w:rsid w:val="00B961DA"/>
    <w:rsid w:val="00B962C7"/>
    <w:rsid w:val="00B96B0B"/>
    <w:rsid w:val="00B973E1"/>
    <w:rsid w:val="00B975B2"/>
    <w:rsid w:val="00B97823"/>
    <w:rsid w:val="00B97AC0"/>
    <w:rsid w:val="00B97FD3"/>
    <w:rsid w:val="00BA06EC"/>
    <w:rsid w:val="00BA196E"/>
    <w:rsid w:val="00BA1AD3"/>
    <w:rsid w:val="00BA1E51"/>
    <w:rsid w:val="00BA2AFD"/>
    <w:rsid w:val="00BA2F44"/>
    <w:rsid w:val="00BA3235"/>
    <w:rsid w:val="00BA3DC0"/>
    <w:rsid w:val="00BA42EA"/>
    <w:rsid w:val="00BA53BC"/>
    <w:rsid w:val="00BA69AF"/>
    <w:rsid w:val="00BA6CCB"/>
    <w:rsid w:val="00BA7924"/>
    <w:rsid w:val="00BA7962"/>
    <w:rsid w:val="00BB0F4C"/>
    <w:rsid w:val="00BB14B5"/>
    <w:rsid w:val="00BB18C1"/>
    <w:rsid w:val="00BB1E46"/>
    <w:rsid w:val="00BB2439"/>
    <w:rsid w:val="00BB2B60"/>
    <w:rsid w:val="00BB333B"/>
    <w:rsid w:val="00BB455E"/>
    <w:rsid w:val="00BB48F9"/>
    <w:rsid w:val="00BB5128"/>
    <w:rsid w:val="00BB563C"/>
    <w:rsid w:val="00BB5C05"/>
    <w:rsid w:val="00BB6A06"/>
    <w:rsid w:val="00BB7199"/>
    <w:rsid w:val="00BB7589"/>
    <w:rsid w:val="00BB76ED"/>
    <w:rsid w:val="00BB789C"/>
    <w:rsid w:val="00BC02D9"/>
    <w:rsid w:val="00BC1080"/>
    <w:rsid w:val="00BC2ABE"/>
    <w:rsid w:val="00BC3970"/>
    <w:rsid w:val="00BC475F"/>
    <w:rsid w:val="00BC4B07"/>
    <w:rsid w:val="00BC4DA1"/>
    <w:rsid w:val="00BC4DED"/>
    <w:rsid w:val="00BC5367"/>
    <w:rsid w:val="00BC612E"/>
    <w:rsid w:val="00BC66D2"/>
    <w:rsid w:val="00BC6D4E"/>
    <w:rsid w:val="00BC72EC"/>
    <w:rsid w:val="00BC7FFC"/>
    <w:rsid w:val="00BD0C06"/>
    <w:rsid w:val="00BD0C8C"/>
    <w:rsid w:val="00BD0DD9"/>
    <w:rsid w:val="00BD10BB"/>
    <w:rsid w:val="00BD1649"/>
    <w:rsid w:val="00BD1F06"/>
    <w:rsid w:val="00BD29A2"/>
    <w:rsid w:val="00BD3AA9"/>
    <w:rsid w:val="00BD4237"/>
    <w:rsid w:val="00BD4946"/>
    <w:rsid w:val="00BD55D1"/>
    <w:rsid w:val="00BD5A50"/>
    <w:rsid w:val="00BD6088"/>
    <w:rsid w:val="00BD63C8"/>
    <w:rsid w:val="00BD6F92"/>
    <w:rsid w:val="00BD700B"/>
    <w:rsid w:val="00BD7231"/>
    <w:rsid w:val="00BD7CB8"/>
    <w:rsid w:val="00BE10C0"/>
    <w:rsid w:val="00BE10D5"/>
    <w:rsid w:val="00BE15EA"/>
    <w:rsid w:val="00BE1729"/>
    <w:rsid w:val="00BE1F14"/>
    <w:rsid w:val="00BE1F8F"/>
    <w:rsid w:val="00BE2D26"/>
    <w:rsid w:val="00BE2D51"/>
    <w:rsid w:val="00BE42D8"/>
    <w:rsid w:val="00BE46BF"/>
    <w:rsid w:val="00BE4D09"/>
    <w:rsid w:val="00BE5115"/>
    <w:rsid w:val="00BE576E"/>
    <w:rsid w:val="00BE57AF"/>
    <w:rsid w:val="00BE5E22"/>
    <w:rsid w:val="00BE63DE"/>
    <w:rsid w:val="00BE69A9"/>
    <w:rsid w:val="00BF0470"/>
    <w:rsid w:val="00BF0C02"/>
    <w:rsid w:val="00BF0DB7"/>
    <w:rsid w:val="00BF1295"/>
    <w:rsid w:val="00BF135F"/>
    <w:rsid w:val="00BF1A18"/>
    <w:rsid w:val="00BF2128"/>
    <w:rsid w:val="00BF2142"/>
    <w:rsid w:val="00BF2B20"/>
    <w:rsid w:val="00BF2B34"/>
    <w:rsid w:val="00BF2CE1"/>
    <w:rsid w:val="00BF3BE1"/>
    <w:rsid w:val="00BF4B03"/>
    <w:rsid w:val="00BF4DC5"/>
    <w:rsid w:val="00BF54E3"/>
    <w:rsid w:val="00BF56FD"/>
    <w:rsid w:val="00BF5A83"/>
    <w:rsid w:val="00BF5AD2"/>
    <w:rsid w:val="00BF5C84"/>
    <w:rsid w:val="00BF60E1"/>
    <w:rsid w:val="00BF611A"/>
    <w:rsid w:val="00BF6287"/>
    <w:rsid w:val="00BF6470"/>
    <w:rsid w:val="00BF6C50"/>
    <w:rsid w:val="00BF708F"/>
    <w:rsid w:val="00BF71A1"/>
    <w:rsid w:val="00BF71DA"/>
    <w:rsid w:val="00BF7851"/>
    <w:rsid w:val="00C01491"/>
    <w:rsid w:val="00C0255B"/>
    <w:rsid w:val="00C0299F"/>
    <w:rsid w:val="00C02E2D"/>
    <w:rsid w:val="00C03FB5"/>
    <w:rsid w:val="00C045F4"/>
    <w:rsid w:val="00C04C03"/>
    <w:rsid w:val="00C05036"/>
    <w:rsid w:val="00C05229"/>
    <w:rsid w:val="00C05E31"/>
    <w:rsid w:val="00C06731"/>
    <w:rsid w:val="00C06A62"/>
    <w:rsid w:val="00C06FA2"/>
    <w:rsid w:val="00C06FC8"/>
    <w:rsid w:val="00C076A1"/>
    <w:rsid w:val="00C076D2"/>
    <w:rsid w:val="00C1031C"/>
    <w:rsid w:val="00C10847"/>
    <w:rsid w:val="00C10BC1"/>
    <w:rsid w:val="00C1112E"/>
    <w:rsid w:val="00C112E4"/>
    <w:rsid w:val="00C1154F"/>
    <w:rsid w:val="00C12303"/>
    <w:rsid w:val="00C1297A"/>
    <w:rsid w:val="00C13218"/>
    <w:rsid w:val="00C13C84"/>
    <w:rsid w:val="00C1444B"/>
    <w:rsid w:val="00C14773"/>
    <w:rsid w:val="00C149BB"/>
    <w:rsid w:val="00C14E7E"/>
    <w:rsid w:val="00C14EB4"/>
    <w:rsid w:val="00C1561B"/>
    <w:rsid w:val="00C1587B"/>
    <w:rsid w:val="00C15C50"/>
    <w:rsid w:val="00C15D4E"/>
    <w:rsid w:val="00C16813"/>
    <w:rsid w:val="00C1703C"/>
    <w:rsid w:val="00C1738D"/>
    <w:rsid w:val="00C173AD"/>
    <w:rsid w:val="00C17B41"/>
    <w:rsid w:val="00C2087D"/>
    <w:rsid w:val="00C20A44"/>
    <w:rsid w:val="00C20A86"/>
    <w:rsid w:val="00C20BBC"/>
    <w:rsid w:val="00C211A2"/>
    <w:rsid w:val="00C214B8"/>
    <w:rsid w:val="00C218C2"/>
    <w:rsid w:val="00C21E3B"/>
    <w:rsid w:val="00C21E94"/>
    <w:rsid w:val="00C2203C"/>
    <w:rsid w:val="00C223F7"/>
    <w:rsid w:val="00C22B9E"/>
    <w:rsid w:val="00C230AB"/>
    <w:rsid w:val="00C2345E"/>
    <w:rsid w:val="00C24312"/>
    <w:rsid w:val="00C24939"/>
    <w:rsid w:val="00C24B14"/>
    <w:rsid w:val="00C24EAF"/>
    <w:rsid w:val="00C25169"/>
    <w:rsid w:val="00C25EFE"/>
    <w:rsid w:val="00C26B13"/>
    <w:rsid w:val="00C271A9"/>
    <w:rsid w:val="00C27414"/>
    <w:rsid w:val="00C2766C"/>
    <w:rsid w:val="00C27922"/>
    <w:rsid w:val="00C31656"/>
    <w:rsid w:val="00C31E47"/>
    <w:rsid w:val="00C323E2"/>
    <w:rsid w:val="00C32492"/>
    <w:rsid w:val="00C32BA7"/>
    <w:rsid w:val="00C32DF5"/>
    <w:rsid w:val="00C3535D"/>
    <w:rsid w:val="00C3539C"/>
    <w:rsid w:val="00C35BE5"/>
    <w:rsid w:val="00C36897"/>
    <w:rsid w:val="00C368A4"/>
    <w:rsid w:val="00C369FC"/>
    <w:rsid w:val="00C375B8"/>
    <w:rsid w:val="00C3790D"/>
    <w:rsid w:val="00C37E12"/>
    <w:rsid w:val="00C40195"/>
    <w:rsid w:val="00C41297"/>
    <w:rsid w:val="00C42DCC"/>
    <w:rsid w:val="00C43BB2"/>
    <w:rsid w:val="00C440C2"/>
    <w:rsid w:val="00C44927"/>
    <w:rsid w:val="00C4497E"/>
    <w:rsid w:val="00C44E6C"/>
    <w:rsid w:val="00C450FD"/>
    <w:rsid w:val="00C45806"/>
    <w:rsid w:val="00C45874"/>
    <w:rsid w:val="00C468E5"/>
    <w:rsid w:val="00C46D06"/>
    <w:rsid w:val="00C471F0"/>
    <w:rsid w:val="00C47BE2"/>
    <w:rsid w:val="00C47C74"/>
    <w:rsid w:val="00C47D4E"/>
    <w:rsid w:val="00C47EEC"/>
    <w:rsid w:val="00C50538"/>
    <w:rsid w:val="00C51288"/>
    <w:rsid w:val="00C52321"/>
    <w:rsid w:val="00C530DE"/>
    <w:rsid w:val="00C535EB"/>
    <w:rsid w:val="00C539CA"/>
    <w:rsid w:val="00C53BA1"/>
    <w:rsid w:val="00C55427"/>
    <w:rsid w:val="00C55C3A"/>
    <w:rsid w:val="00C56F60"/>
    <w:rsid w:val="00C56F75"/>
    <w:rsid w:val="00C57266"/>
    <w:rsid w:val="00C573A2"/>
    <w:rsid w:val="00C5772E"/>
    <w:rsid w:val="00C57E73"/>
    <w:rsid w:val="00C603DC"/>
    <w:rsid w:val="00C60A82"/>
    <w:rsid w:val="00C6183C"/>
    <w:rsid w:val="00C62815"/>
    <w:rsid w:val="00C63112"/>
    <w:rsid w:val="00C63612"/>
    <w:rsid w:val="00C63731"/>
    <w:rsid w:val="00C641F7"/>
    <w:rsid w:val="00C64FF8"/>
    <w:rsid w:val="00C6529A"/>
    <w:rsid w:val="00C65918"/>
    <w:rsid w:val="00C66046"/>
    <w:rsid w:val="00C66605"/>
    <w:rsid w:val="00C66CEB"/>
    <w:rsid w:val="00C67869"/>
    <w:rsid w:val="00C7023B"/>
    <w:rsid w:val="00C703E4"/>
    <w:rsid w:val="00C709F7"/>
    <w:rsid w:val="00C70F2F"/>
    <w:rsid w:val="00C71210"/>
    <w:rsid w:val="00C71C7D"/>
    <w:rsid w:val="00C71E0C"/>
    <w:rsid w:val="00C71EB0"/>
    <w:rsid w:val="00C729E0"/>
    <w:rsid w:val="00C72D3F"/>
    <w:rsid w:val="00C7316D"/>
    <w:rsid w:val="00C74733"/>
    <w:rsid w:val="00C74FB8"/>
    <w:rsid w:val="00C7561A"/>
    <w:rsid w:val="00C76178"/>
    <w:rsid w:val="00C764F7"/>
    <w:rsid w:val="00C765C7"/>
    <w:rsid w:val="00C765CD"/>
    <w:rsid w:val="00C767CD"/>
    <w:rsid w:val="00C76BC3"/>
    <w:rsid w:val="00C76C8E"/>
    <w:rsid w:val="00C76F0C"/>
    <w:rsid w:val="00C76FDC"/>
    <w:rsid w:val="00C77418"/>
    <w:rsid w:val="00C775FD"/>
    <w:rsid w:val="00C77C3A"/>
    <w:rsid w:val="00C8152E"/>
    <w:rsid w:val="00C81AB6"/>
    <w:rsid w:val="00C82849"/>
    <w:rsid w:val="00C83CAE"/>
    <w:rsid w:val="00C84798"/>
    <w:rsid w:val="00C85704"/>
    <w:rsid w:val="00C865FE"/>
    <w:rsid w:val="00C86EAB"/>
    <w:rsid w:val="00C86FD3"/>
    <w:rsid w:val="00C87433"/>
    <w:rsid w:val="00C87C68"/>
    <w:rsid w:val="00C87E8A"/>
    <w:rsid w:val="00C90085"/>
    <w:rsid w:val="00C911F5"/>
    <w:rsid w:val="00C91715"/>
    <w:rsid w:val="00C91D56"/>
    <w:rsid w:val="00C9226D"/>
    <w:rsid w:val="00C92865"/>
    <w:rsid w:val="00C93183"/>
    <w:rsid w:val="00C93299"/>
    <w:rsid w:val="00C93707"/>
    <w:rsid w:val="00C93BC8"/>
    <w:rsid w:val="00C93D2F"/>
    <w:rsid w:val="00C94051"/>
    <w:rsid w:val="00C940B3"/>
    <w:rsid w:val="00C942A9"/>
    <w:rsid w:val="00C949BD"/>
    <w:rsid w:val="00C94B57"/>
    <w:rsid w:val="00C94CB2"/>
    <w:rsid w:val="00C95143"/>
    <w:rsid w:val="00C95816"/>
    <w:rsid w:val="00C9636F"/>
    <w:rsid w:val="00C964BE"/>
    <w:rsid w:val="00C96F97"/>
    <w:rsid w:val="00C976A2"/>
    <w:rsid w:val="00C97A5E"/>
    <w:rsid w:val="00CA01E5"/>
    <w:rsid w:val="00CA1073"/>
    <w:rsid w:val="00CA1341"/>
    <w:rsid w:val="00CA222D"/>
    <w:rsid w:val="00CA2459"/>
    <w:rsid w:val="00CA2794"/>
    <w:rsid w:val="00CA2DD0"/>
    <w:rsid w:val="00CA34D4"/>
    <w:rsid w:val="00CA3937"/>
    <w:rsid w:val="00CA3973"/>
    <w:rsid w:val="00CA3D3E"/>
    <w:rsid w:val="00CA41BA"/>
    <w:rsid w:val="00CA42A9"/>
    <w:rsid w:val="00CA4352"/>
    <w:rsid w:val="00CA47EB"/>
    <w:rsid w:val="00CA4AFE"/>
    <w:rsid w:val="00CA4B80"/>
    <w:rsid w:val="00CA5420"/>
    <w:rsid w:val="00CA559D"/>
    <w:rsid w:val="00CA5796"/>
    <w:rsid w:val="00CA5CD8"/>
    <w:rsid w:val="00CA5CDB"/>
    <w:rsid w:val="00CA625D"/>
    <w:rsid w:val="00CA6370"/>
    <w:rsid w:val="00CA6577"/>
    <w:rsid w:val="00CA758B"/>
    <w:rsid w:val="00CA76C8"/>
    <w:rsid w:val="00CA7F5A"/>
    <w:rsid w:val="00CA7FD3"/>
    <w:rsid w:val="00CB03F9"/>
    <w:rsid w:val="00CB1197"/>
    <w:rsid w:val="00CB11E7"/>
    <w:rsid w:val="00CB13AD"/>
    <w:rsid w:val="00CB1729"/>
    <w:rsid w:val="00CB1B80"/>
    <w:rsid w:val="00CB1F79"/>
    <w:rsid w:val="00CB2053"/>
    <w:rsid w:val="00CB234D"/>
    <w:rsid w:val="00CB3249"/>
    <w:rsid w:val="00CB3CDF"/>
    <w:rsid w:val="00CB3E0A"/>
    <w:rsid w:val="00CB5190"/>
    <w:rsid w:val="00CB579B"/>
    <w:rsid w:val="00CB582F"/>
    <w:rsid w:val="00CB66A6"/>
    <w:rsid w:val="00CB67B1"/>
    <w:rsid w:val="00CB69E1"/>
    <w:rsid w:val="00CB6C29"/>
    <w:rsid w:val="00CB70E9"/>
    <w:rsid w:val="00CB7D76"/>
    <w:rsid w:val="00CB7FAE"/>
    <w:rsid w:val="00CC099C"/>
    <w:rsid w:val="00CC0C61"/>
    <w:rsid w:val="00CC1194"/>
    <w:rsid w:val="00CC16C9"/>
    <w:rsid w:val="00CC2803"/>
    <w:rsid w:val="00CC2E1E"/>
    <w:rsid w:val="00CC337E"/>
    <w:rsid w:val="00CC3E08"/>
    <w:rsid w:val="00CC443B"/>
    <w:rsid w:val="00CC4566"/>
    <w:rsid w:val="00CC4904"/>
    <w:rsid w:val="00CC4951"/>
    <w:rsid w:val="00CC4E10"/>
    <w:rsid w:val="00CC66BF"/>
    <w:rsid w:val="00CC673E"/>
    <w:rsid w:val="00CC6DBB"/>
    <w:rsid w:val="00CC7F69"/>
    <w:rsid w:val="00CD01A5"/>
    <w:rsid w:val="00CD0CA2"/>
    <w:rsid w:val="00CD103B"/>
    <w:rsid w:val="00CD1227"/>
    <w:rsid w:val="00CD1984"/>
    <w:rsid w:val="00CD1BE6"/>
    <w:rsid w:val="00CD1F51"/>
    <w:rsid w:val="00CD2288"/>
    <w:rsid w:val="00CD23FA"/>
    <w:rsid w:val="00CD296D"/>
    <w:rsid w:val="00CD3089"/>
    <w:rsid w:val="00CD311E"/>
    <w:rsid w:val="00CD3618"/>
    <w:rsid w:val="00CD3ABD"/>
    <w:rsid w:val="00CD4027"/>
    <w:rsid w:val="00CD4A1C"/>
    <w:rsid w:val="00CD4E8A"/>
    <w:rsid w:val="00CD516F"/>
    <w:rsid w:val="00CD57C3"/>
    <w:rsid w:val="00CD5900"/>
    <w:rsid w:val="00CD6040"/>
    <w:rsid w:val="00CD6047"/>
    <w:rsid w:val="00CD60CD"/>
    <w:rsid w:val="00CD75C8"/>
    <w:rsid w:val="00CE05FA"/>
    <w:rsid w:val="00CE0722"/>
    <w:rsid w:val="00CE1526"/>
    <w:rsid w:val="00CE1ACF"/>
    <w:rsid w:val="00CE2D99"/>
    <w:rsid w:val="00CE2F8A"/>
    <w:rsid w:val="00CE30C9"/>
    <w:rsid w:val="00CE3179"/>
    <w:rsid w:val="00CE344B"/>
    <w:rsid w:val="00CE34D4"/>
    <w:rsid w:val="00CE422E"/>
    <w:rsid w:val="00CE55A1"/>
    <w:rsid w:val="00CE5C25"/>
    <w:rsid w:val="00CE612B"/>
    <w:rsid w:val="00CE636D"/>
    <w:rsid w:val="00CE67D2"/>
    <w:rsid w:val="00CE6B67"/>
    <w:rsid w:val="00CE7B12"/>
    <w:rsid w:val="00CE7F62"/>
    <w:rsid w:val="00CF0167"/>
    <w:rsid w:val="00CF0280"/>
    <w:rsid w:val="00CF0723"/>
    <w:rsid w:val="00CF07C9"/>
    <w:rsid w:val="00CF0C16"/>
    <w:rsid w:val="00CF0E4C"/>
    <w:rsid w:val="00CF10D1"/>
    <w:rsid w:val="00CF15D2"/>
    <w:rsid w:val="00CF23C5"/>
    <w:rsid w:val="00CF29DF"/>
    <w:rsid w:val="00CF2B14"/>
    <w:rsid w:val="00CF2F0C"/>
    <w:rsid w:val="00CF4035"/>
    <w:rsid w:val="00CF41E9"/>
    <w:rsid w:val="00CF4388"/>
    <w:rsid w:val="00CF4491"/>
    <w:rsid w:val="00CF4C94"/>
    <w:rsid w:val="00CF505E"/>
    <w:rsid w:val="00CF7899"/>
    <w:rsid w:val="00CF7B2A"/>
    <w:rsid w:val="00CF7CDB"/>
    <w:rsid w:val="00CF7D9A"/>
    <w:rsid w:val="00D014C9"/>
    <w:rsid w:val="00D017A4"/>
    <w:rsid w:val="00D018F9"/>
    <w:rsid w:val="00D024B2"/>
    <w:rsid w:val="00D02C54"/>
    <w:rsid w:val="00D03084"/>
    <w:rsid w:val="00D031F2"/>
    <w:rsid w:val="00D03702"/>
    <w:rsid w:val="00D037DD"/>
    <w:rsid w:val="00D03AFB"/>
    <w:rsid w:val="00D04159"/>
    <w:rsid w:val="00D04C0A"/>
    <w:rsid w:val="00D04E8A"/>
    <w:rsid w:val="00D0506B"/>
    <w:rsid w:val="00D05BC8"/>
    <w:rsid w:val="00D05D37"/>
    <w:rsid w:val="00D0670A"/>
    <w:rsid w:val="00D06BA1"/>
    <w:rsid w:val="00D06D78"/>
    <w:rsid w:val="00D07306"/>
    <w:rsid w:val="00D07DC9"/>
    <w:rsid w:val="00D109EA"/>
    <w:rsid w:val="00D11759"/>
    <w:rsid w:val="00D118BB"/>
    <w:rsid w:val="00D1219B"/>
    <w:rsid w:val="00D12C29"/>
    <w:rsid w:val="00D12CD4"/>
    <w:rsid w:val="00D12CD9"/>
    <w:rsid w:val="00D137B2"/>
    <w:rsid w:val="00D13F59"/>
    <w:rsid w:val="00D1415D"/>
    <w:rsid w:val="00D14226"/>
    <w:rsid w:val="00D1438F"/>
    <w:rsid w:val="00D14803"/>
    <w:rsid w:val="00D14FEB"/>
    <w:rsid w:val="00D15240"/>
    <w:rsid w:val="00D15824"/>
    <w:rsid w:val="00D15F4E"/>
    <w:rsid w:val="00D1674F"/>
    <w:rsid w:val="00D16876"/>
    <w:rsid w:val="00D16D4F"/>
    <w:rsid w:val="00D1738D"/>
    <w:rsid w:val="00D1766C"/>
    <w:rsid w:val="00D17CF4"/>
    <w:rsid w:val="00D20B45"/>
    <w:rsid w:val="00D20F3C"/>
    <w:rsid w:val="00D21B23"/>
    <w:rsid w:val="00D228F9"/>
    <w:rsid w:val="00D22AB2"/>
    <w:rsid w:val="00D23688"/>
    <w:rsid w:val="00D24EE8"/>
    <w:rsid w:val="00D26043"/>
    <w:rsid w:val="00D261B3"/>
    <w:rsid w:val="00D26E6C"/>
    <w:rsid w:val="00D2752C"/>
    <w:rsid w:val="00D3007B"/>
    <w:rsid w:val="00D30249"/>
    <w:rsid w:val="00D3031B"/>
    <w:rsid w:val="00D306B2"/>
    <w:rsid w:val="00D3087D"/>
    <w:rsid w:val="00D31C16"/>
    <w:rsid w:val="00D32C0C"/>
    <w:rsid w:val="00D32EC7"/>
    <w:rsid w:val="00D33458"/>
    <w:rsid w:val="00D337B4"/>
    <w:rsid w:val="00D34455"/>
    <w:rsid w:val="00D34948"/>
    <w:rsid w:val="00D34BAD"/>
    <w:rsid w:val="00D34E17"/>
    <w:rsid w:val="00D34EDC"/>
    <w:rsid w:val="00D35226"/>
    <w:rsid w:val="00D353F9"/>
    <w:rsid w:val="00D35DAA"/>
    <w:rsid w:val="00D364AC"/>
    <w:rsid w:val="00D36C49"/>
    <w:rsid w:val="00D36EC6"/>
    <w:rsid w:val="00D374AA"/>
    <w:rsid w:val="00D37A78"/>
    <w:rsid w:val="00D37C54"/>
    <w:rsid w:val="00D40B5F"/>
    <w:rsid w:val="00D40E25"/>
    <w:rsid w:val="00D40F37"/>
    <w:rsid w:val="00D41818"/>
    <w:rsid w:val="00D41F8F"/>
    <w:rsid w:val="00D426ED"/>
    <w:rsid w:val="00D429AD"/>
    <w:rsid w:val="00D432E8"/>
    <w:rsid w:val="00D439DF"/>
    <w:rsid w:val="00D43AC0"/>
    <w:rsid w:val="00D43E17"/>
    <w:rsid w:val="00D43F8F"/>
    <w:rsid w:val="00D44902"/>
    <w:rsid w:val="00D44A13"/>
    <w:rsid w:val="00D44B43"/>
    <w:rsid w:val="00D450E8"/>
    <w:rsid w:val="00D4554B"/>
    <w:rsid w:val="00D46EEB"/>
    <w:rsid w:val="00D47523"/>
    <w:rsid w:val="00D47597"/>
    <w:rsid w:val="00D478F8"/>
    <w:rsid w:val="00D47967"/>
    <w:rsid w:val="00D47C4C"/>
    <w:rsid w:val="00D47D3B"/>
    <w:rsid w:val="00D47E69"/>
    <w:rsid w:val="00D5031B"/>
    <w:rsid w:val="00D509E2"/>
    <w:rsid w:val="00D5142B"/>
    <w:rsid w:val="00D51883"/>
    <w:rsid w:val="00D51A5B"/>
    <w:rsid w:val="00D51CEC"/>
    <w:rsid w:val="00D5201A"/>
    <w:rsid w:val="00D53A05"/>
    <w:rsid w:val="00D5460A"/>
    <w:rsid w:val="00D54ADF"/>
    <w:rsid w:val="00D55589"/>
    <w:rsid w:val="00D55ECE"/>
    <w:rsid w:val="00D564E8"/>
    <w:rsid w:val="00D565F7"/>
    <w:rsid w:val="00D56D0F"/>
    <w:rsid w:val="00D56E9E"/>
    <w:rsid w:val="00D57803"/>
    <w:rsid w:val="00D57F1B"/>
    <w:rsid w:val="00D6057D"/>
    <w:rsid w:val="00D60890"/>
    <w:rsid w:val="00D608B3"/>
    <w:rsid w:val="00D60EDD"/>
    <w:rsid w:val="00D614DB"/>
    <w:rsid w:val="00D61602"/>
    <w:rsid w:val="00D61932"/>
    <w:rsid w:val="00D61D79"/>
    <w:rsid w:val="00D620E5"/>
    <w:rsid w:val="00D620F9"/>
    <w:rsid w:val="00D6214B"/>
    <w:rsid w:val="00D630C1"/>
    <w:rsid w:val="00D63CE9"/>
    <w:rsid w:val="00D64410"/>
    <w:rsid w:val="00D64598"/>
    <w:rsid w:val="00D64866"/>
    <w:rsid w:val="00D648FE"/>
    <w:rsid w:val="00D649DB"/>
    <w:rsid w:val="00D64D71"/>
    <w:rsid w:val="00D651E1"/>
    <w:rsid w:val="00D658E0"/>
    <w:rsid w:val="00D65BD2"/>
    <w:rsid w:val="00D66242"/>
    <w:rsid w:val="00D66593"/>
    <w:rsid w:val="00D66618"/>
    <w:rsid w:val="00D6684F"/>
    <w:rsid w:val="00D6695D"/>
    <w:rsid w:val="00D6705B"/>
    <w:rsid w:val="00D670CF"/>
    <w:rsid w:val="00D6724A"/>
    <w:rsid w:val="00D70095"/>
    <w:rsid w:val="00D711C4"/>
    <w:rsid w:val="00D712EC"/>
    <w:rsid w:val="00D7141D"/>
    <w:rsid w:val="00D71454"/>
    <w:rsid w:val="00D71F8F"/>
    <w:rsid w:val="00D721A1"/>
    <w:rsid w:val="00D725D8"/>
    <w:rsid w:val="00D7278D"/>
    <w:rsid w:val="00D72803"/>
    <w:rsid w:val="00D729FE"/>
    <w:rsid w:val="00D72A68"/>
    <w:rsid w:val="00D72B86"/>
    <w:rsid w:val="00D72D89"/>
    <w:rsid w:val="00D732EC"/>
    <w:rsid w:val="00D7373E"/>
    <w:rsid w:val="00D739DB"/>
    <w:rsid w:val="00D7452D"/>
    <w:rsid w:val="00D746CD"/>
    <w:rsid w:val="00D7472A"/>
    <w:rsid w:val="00D74AAD"/>
    <w:rsid w:val="00D7527A"/>
    <w:rsid w:val="00D755A4"/>
    <w:rsid w:val="00D75690"/>
    <w:rsid w:val="00D756C5"/>
    <w:rsid w:val="00D759B7"/>
    <w:rsid w:val="00D75D8D"/>
    <w:rsid w:val="00D77118"/>
    <w:rsid w:val="00D772B2"/>
    <w:rsid w:val="00D777A9"/>
    <w:rsid w:val="00D77FC3"/>
    <w:rsid w:val="00D80C46"/>
    <w:rsid w:val="00D810FF"/>
    <w:rsid w:val="00D8119F"/>
    <w:rsid w:val="00D81A97"/>
    <w:rsid w:val="00D81DCC"/>
    <w:rsid w:val="00D81EED"/>
    <w:rsid w:val="00D828AB"/>
    <w:rsid w:val="00D82A89"/>
    <w:rsid w:val="00D82D44"/>
    <w:rsid w:val="00D842D8"/>
    <w:rsid w:val="00D84320"/>
    <w:rsid w:val="00D8466E"/>
    <w:rsid w:val="00D84B8C"/>
    <w:rsid w:val="00D85BC6"/>
    <w:rsid w:val="00D85E43"/>
    <w:rsid w:val="00D866A8"/>
    <w:rsid w:val="00D8761F"/>
    <w:rsid w:val="00D87E58"/>
    <w:rsid w:val="00D90382"/>
    <w:rsid w:val="00D908E7"/>
    <w:rsid w:val="00D90D06"/>
    <w:rsid w:val="00D91274"/>
    <w:rsid w:val="00D92351"/>
    <w:rsid w:val="00D92E1D"/>
    <w:rsid w:val="00D937B6"/>
    <w:rsid w:val="00D93AC9"/>
    <w:rsid w:val="00D942B7"/>
    <w:rsid w:val="00D94DFE"/>
    <w:rsid w:val="00D9519D"/>
    <w:rsid w:val="00D957DD"/>
    <w:rsid w:val="00D95F44"/>
    <w:rsid w:val="00D97388"/>
    <w:rsid w:val="00D97398"/>
    <w:rsid w:val="00D9750C"/>
    <w:rsid w:val="00D97E14"/>
    <w:rsid w:val="00DA0340"/>
    <w:rsid w:val="00DA06B5"/>
    <w:rsid w:val="00DA0A3C"/>
    <w:rsid w:val="00DA0D55"/>
    <w:rsid w:val="00DA279B"/>
    <w:rsid w:val="00DA2A38"/>
    <w:rsid w:val="00DA2B28"/>
    <w:rsid w:val="00DA2EF8"/>
    <w:rsid w:val="00DA3006"/>
    <w:rsid w:val="00DA350F"/>
    <w:rsid w:val="00DA3A7B"/>
    <w:rsid w:val="00DA3B5D"/>
    <w:rsid w:val="00DA4889"/>
    <w:rsid w:val="00DA51C7"/>
    <w:rsid w:val="00DA5B86"/>
    <w:rsid w:val="00DA5E5C"/>
    <w:rsid w:val="00DA632C"/>
    <w:rsid w:val="00DA650F"/>
    <w:rsid w:val="00DA694E"/>
    <w:rsid w:val="00DA6FF1"/>
    <w:rsid w:val="00DA794C"/>
    <w:rsid w:val="00DB0D5C"/>
    <w:rsid w:val="00DB0F6D"/>
    <w:rsid w:val="00DB1359"/>
    <w:rsid w:val="00DB1460"/>
    <w:rsid w:val="00DB20F4"/>
    <w:rsid w:val="00DB2CB0"/>
    <w:rsid w:val="00DB2F3E"/>
    <w:rsid w:val="00DB3808"/>
    <w:rsid w:val="00DB4466"/>
    <w:rsid w:val="00DB48AB"/>
    <w:rsid w:val="00DB543D"/>
    <w:rsid w:val="00DB5765"/>
    <w:rsid w:val="00DB5E32"/>
    <w:rsid w:val="00DB60B6"/>
    <w:rsid w:val="00DB6767"/>
    <w:rsid w:val="00DB76E2"/>
    <w:rsid w:val="00DB7A0A"/>
    <w:rsid w:val="00DC072C"/>
    <w:rsid w:val="00DC0A5E"/>
    <w:rsid w:val="00DC0D2B"/>
    <w:rsid w:val="00DC1394"/>
    <w:rsid w:val="00DC1691"/>
    <w:rsid w:val="00DC24C0"/>
    <w:rsid w:val="00DC2969"/>
    <w:rsid w:val="00DC2AF7"/>
    <w:rsid w:val="00DC2DF9"/>
    <w:rsid w:val="00DC31D1"/>
    <w:rsid w:val="00DC3995"/>
    <w:rsid w:val="00DC399A"/>
    <w:rsid w:val="00DC3C49"/>
    <w:rsid w:val="00DC3D4A"/>
    <w:rsid w:val="00DC4139"/>
    <w:rsid w:val="00DC41EC"/>
    <w:rsid w:val="00DC435D"/>
    <w:rsid w:val="00DC4D3E"/>
    <w:rsid w:val="00DC4DC4"/>
    <w:rsid w:val="00DC5E1A"/>
    <w:rsid w:val="00DC63DE"/>
    <w:rsid w:val="00DC6BDA"/>
    <w:rsid w:val="00DC6BF2"/>
    <w:rsid w:val="00DC7140"/>
    <w:rsid w:val="00DC71E4"/>
    <w:rsid w:val="00DC7348"/>
    <w:rsid w:val="00DD0AA1"/>
    <w:rsid w:val="00DD0AB6"/>
    <w:rsid w:val="00DD1552"/>
    <w:rsid w:val="00DD1AD2"/>
    <w:rsid w:val="00DD2AB7"/>
    <w:rsid w:val="00DD2BE1"/>
    <w:rsid w:val="00DD2EC5"/>
    <w:rsid w:val="00DD38D5"/>
    <w:rsid w:val="00DD5416"/>
    <w:rsid w:val="00DD5572"/>
    <w:rsid w:val="00DD577D"/>
    <w:rsid w:val="00DD5AFF"/>
    <w:rsid w:val="00DD6BF4"/>
    <w:rsid w:val="00DD7370"/>
    <w:rsid w:val="00DD787E"/>
    <w:rsid w:val="00DD7E01"/>
    <w:rsid w:val="00DE0097"/>
    <w:rsid w:val="00DE0913"/>
    <w:rsid w:val="00DE0FBD"/>
    <w:rsid w:val="00DE203B"/>
    <w:rsid w:val="00DE2852"/>
    <w:rsid w:val="00DE2D62"/>
    <w:rsid w:val="00DE30AB"/>
    <w:rsid w:val="00DE31FA"/>
    <w:rsid w:val="00DE4104"/>
    <w:rsid w:val="00DE41E9"/>
    <w:rsid w:val="00DE528E"/>
    <w:rsid w:val="00DE654A"/>
    <w:rsid w:val="00DE6BE3"/>
    <w:rsid w:val="00DE6C12"/>
    <w:rsid w:val="00DE6DE4"/>
    <w:rsid w:val="00DE7506"/>
    <w:rsid w:val="00DF02D9"/>
    <w:rsid w:val="00DF09F8"/>
    <w:rsid w:val="00DF1687"/>
    <w:rsid w:val="00DF2BBE"/>
    <w:rsid w:val="00DF30A0"/>
    <w:rsid w:val="00DF3175"/>
    <w:rsid w:val="00DF321F"/>
    <w:rsid w:val="00DF3647"/>
    <w:rsid w:val="00DF4556"/>
    <w:rsid w:val="00DF473D"/>
    <w:rsid w:val="00DF4A59"/>
    <w:rsid w:val="00DF5A19"/>
    <w:rsid w:val="00DF6272"/>
    <w:rsid w:val="00DF669C"/>
    <w:rsid w:val="00DF6AB1"/>
    <w:rsid w:val="00DF6B18"/>
    <w:rsid w:val="00DF701B"/>
    <w:rsid w:val="00DF7285"/>
    <w:rsid w:val="00DF7568"/>
    <w:rsid w:val="00DF764D"/>
    <w:rsid w:val="00DF7718"/>
    <w:rsid w:val="00DF7832"/>
    <w:rsid w:val="00DF7AFF"/>
    <w:rsid w:val="00DF7E61"/>
    <w:rsid w:val="00E00FD4"/>
    <w:rsid w:val="00E012CD"/>
    <w:rsid w:val="00E01A2C"/>
    <w:rsid w:val="00E026FA"/>
    <w:rsid w:val="00E02F05"/>
    <w:rsid w:val="00E0331B"/>
    <w:rsid w:val="00E03ECF"/>
    <w:rsid w:val="00E03FEB"/>
    <w:rsid w:val="00E045CA"/>
    <w:rsid w:val="00E049A8"/>
    <w:rsid w:val="00E06397"/>
    <w:rsid w:val="00E06526"/>
    <w:rsid w:val="00E066AD"/>
    <w:rsid w:val="00E06B37"/>
    <w:rsid w:val="00E0751A"/>
    <w:rsid w:val="00E07FCF"/>
    <w:rsid w:val="00E11DB9"/>
    <w:rsid w:val="00E125F4"/>
    <w:rsid w:val="00E127EA"/>
    <w:rsid w:val="00E1283F"/>
    <w:rsid w:val="00E1334F"/>
    <w:rsid w:val="00E13A5E"/>
    <w:rsid w:val="00E13C30"/>
    <w:rsid w:val="00E14C4A"/>
    <w:rsid w:val="00E1626B"/>
    <w:rsid w:val="00E16550"/>
    <w:rsid w:val="00E16A9A"/>
    <w:rsid w:val="00E171E6"/>
    <w:rsid w:val="00E1749F"/>
    <w:rsid w:val="00E20162"/>
    <w:rsid w:val="00E20BA8"/>
    <w:rsid w:val="00E2102C"/>
    <w:rsid w:val="00E21710"/>
    <w:rsid w:val="00E21D55"/>
    <w:rsid w:val="00E228EB"/>
    <w:rsid w:val="00E22D04"/>
    <w:rsid w:val="00E23E9A"/>
    <w:rsid w:val="00E251BF"/>
    <w:rsid w:val="00E27CE2"/>
    <w:rsid w:val="00E27DEF"/>
    <w:rsid w:val="00E30225"/>
    <w:rsid w:val="00E30A96"/>
    <w:rsid w:val="00E30F89"/>
    <w:rsid w:val="00E310BC"/>
    <w:rsid w:val="00E3151F"/>
    <w:rsid w:val="00E31F4F"/>
    <w:rsid w:val="00E31F9B"/>
    <w:rsid w:val="00E323BD"/>
    <w:rsid w:val="00E3269B"/>
    <w:rsid w:val="00E32AB2"/>
    <w:rsid w:val="00E3373E"/>
    <w:rsid w:val="00E33B3E"/>
    <w:rsid w:val="00E33BBA"/>
    <w:rsid w:val="00E340FD"/>
    <w:rsid w:val="00E34476"/>
    <w:rsid w:val="00E345C0"/>
    <w:rsid w:val="00E34B62"/>
    <w:rsid w:val="00E34E01"/>
    <w:rsid w:val="00E35B13"/>
    <w:rsid w:val="00E35C8B"/>
    <w:rsid w:val="00E365FE"/>
    <w:rsid w:val="00E36732"/>
    <w:rsid w:val="00E36A3E"/>
    <w:rsid w:val="00E40172"/>
    <w:rsid w:val="00E40249"/>
    <w:rsid w:val="00E408C8"/>
    <w:rsid w:val="00E40CC3"/>
    <w:rsid w:val="00E40E10"/>
    <w:rsid w:val="00E419B8"/>
    <w:rsid w:val="00E41E55"/>
    <w:rsid w:val="00E42245"/>
    <w:rsid w:val="00E427E4"/>
    <w:rsid w:val="00E43ADB"/>
    <w:rsid w:val="00E43B7C"/>
    <w:rsid w:val="00E43DFB"/>
    <w:rsid w:val="00E43E0C"/>
    <w:rsid w:val="00E44146"/>
    <w:rsid w:val="00E4419C"/>
    <w:rsid w:val="00E44CA7"/>
    <w:rsid w:val="00E4516A"/>
    <w:rsid w:val="00E4572D"/>
    <w:rsid w:val="00E4711F"/>
    <w:rsid w:val="00E50790"/>
    <w:rsid w:val="00E51044"/>
    <w:rsid w:val="00E5166A"/>
    <w:rsid w:val="00E52451"/>
    <w:rsid w:val="00E52BCC"/>
    <w:rsid w:val="00E52BE5"/>
    <w:rsid w:val="00E52C11"/>
    <w:rsid w:val="00E53368"/>
    <w:rsid w:val="00E53B1B"/>
    <w:rsid w:val="00E53C06"/>
    <w:rsid w:val="00E53D61"/>
    <w:rsid w:val="00E53DC7"/>
    <w:rsid w:val="00E53E2F"/>
    <w:rsid w:val="00E54076"/>
    <w:rsid w:val="00E547F1"/>
    <w:rsid w:val="00E549EB"/>
    <w:rsid w:val="00E54C20"/>
    <w:rsid w:val="00E54F72"/>
    <w:rsid w:val="00E5589B"/>
    <w:rsid w:val="00E562E5"/>
    <w:rsid w:val="00E5663A"/>
    <w:rsid w:val="00E5667D"/>
    <w:rsid w:val="00E56A18"/>
    <w:rsid w:val="00E57D30"/>
    <w:rsid w:val="00E60B87"/>
    <w:rsid w:val="00E610E9"/>
    <w:rsid w:val="00E61AB3"/>
    <w:rsid w:val="00E61DC9"/>
    <w:rsid w:val="00E62006"/>
    <w:rsid w:val="00E626F2"/>
    <w:rsid w:val="00E62961"/>
    <w:rsid w:val="00E63060"/>
    <w:rsid w:val="00E6436D"/>
    <w:rsid w:val="00E64D53"/>
    <w:rsid w:val="00E64DF9"/>
    <w:rsid w:val="00E64EAA"/>
    <w:rsid w:val="00E65210"/>
    <w:rsid w:val="00E6556F"/>
    <w:rsid w:val="00E6584E"/>
    <w:rsid w:val="00E66A51"/>
    <w:rsid w:val="00E672F0"/>
    <w:rsid w:val="00E67D0B"/>
    <w:rsid w:val="00E67F7A"/>
    <w:rsid w:val="00E702EC"/>
    <w:rsid w:val="00E70543"/>
    <w:rsid w:val="00E705CD"/>
    <w:rsid w:val="00E7090C"/>
    <w:rsid w:val="00E718BB"/>
    <w:rsid w:val="00E71AF0"/>
    <w:rsid w:val="00E71B64"/>
    <w:rsid w:val="00E725D3"/>
    <w:rsid w:val="00E72884"/>
    <w:rsid w:val="00E72D6F"/>
    <w:rsid w:val="00E7374A"/>
    <w:rsid w:val="00E7459B"/>
    <w:rsid w:val="00E75443"/>
    <w:rsid w:val="00E75A9E"/>
    <w:rsid w:val="00E75EB8"/>
    <w:rsid w:val="00E76504"/>
    <w:rsid w:val="00E766AF"/>
    <w:rsid w:val="00E77878"/>
    <w:rsid w:val="00E802FE"/>
    <w:rsid w:val="00E80353"/>
    <w:rsid w:val="00E804A6"/>
    <w:rsid w:val="00E80600"/>
    <w:rsid w:val="00E80981"/>
    <w:rsid w:val="00E80A2B"/>
    <w:rsid w:val="00E80C76"/>
    <w:rsid w:val="00E81003"/>
    <w:rsid w:val="00E82707"/>
    <w:rsid w:val="00E84292"/>
    <w:rsid w:val="00E842DF"/>
    <w:rsid w:val="00E84359"/>
    <w:rsid w:val="00E85B55"/>
    <w:rsid w:val="00E86170"/>
    <w:rsid w:val="00E862BC"/>
    <w:rsid w:val="00E86404"/>
    <w:rsid w:val="00E86661"/>
    <w:rsid w:val="00E86ADB"/>
    <w:rsid w:val="00E87966"/>
    <w:rsid w:val="00E87BC0"/>
    <w:rsid w:val="00E9028C"/>
    <w:rsid w:val="00E9050C"/>
    <w:rsid w:val="00E908DA"/>
    <w:rsid w:val="00E90A15"/>
    <w:rsid w:val="00E90E53"/>
    <w:rsid w:val="00E910D9"/>
    <w:rsid w:val="00E916C7"/>
    <w:rsid w:val="00E91EF2"/>
    <w:rsid w:val="00E91F30"/>
    <w:rsid w:val="00E92406"/>
    <w:rsid w:val="00E924F1"/>
    <w:rsid w:val="00E92CDC"/>
    <w:rsid w:val="00E92D8B"/>
    <w:rsid w:val="00E9328B"/>
    <w:rsid w:val="00E94F86"/>
    <w:rsid w:val="00E9597F"/>
    <w:rsid w:val="00E95D59"/>
    <w:rsid w:val="00E968C8"/>
    <w:rsid w:val="00E97471"/>
    <w:rsid w:val="00EA0849"/>
    <w:rsid w:val="00EA0CDB"/>
    <w:rsid w:val="00EA0FF4"/>
    <w:rsid w:val="00EA262A"/>
    <w:rsid w:val="00EA294B"/>
    <w:rsid w:val="00EA2ECE"/>
    <w:rsid w:val="00EA2ED9"/>
    <w:rsid w:val="00EA2F5F"/>
    <w:rsid w:val="00EA421C"/>
    <w:rsid w:val="00EA4581"/>
    <w:rsid w:val="00EA46FB"/>
    <w:rsid w:val="00EA4CA0"/>
    <w:rsid w:val="00EA52AC"/>
    <w:rsid w:val="00EA5D48"/>
    <w:rsid w:val="00EA5F4E"/>
    <w:rsid w:val="00EA6878"/>
    <w:rsid w:val="00EA68CD"/>
    <w:rsid w:val="00EA6A56"/>
    <w:rsid w:val="00EA6BF1"/>
    <w:rsid w:val="00EA6D0E"/>
    <w:rsid w:val="00EA6D3C"/>
    <w:rsid w:val="00EA792D"/>
    <w:rsid w:val="00EA7A5F"/>
    <w:rsid w:val="00EB0DAF"/>
    <w:rsid w:val="00EB0F9F"/>
    <w:rsid w:val="00EB18FB"/>
    <w:rsid w:val="00EB23A9"/>
    <w:rsid w:val="00EB24A2"/>
    <w:rsid w:val="00EB2975"/>
    <w:rsid w:val="00EB2ACB"/>
    <w:rsid w:val="00EB3469"/>
    <w:rsid w:val="00EB39C3"/>
    <w:rsid w:val="00EB4604"/>
    <w:rsid w:val="00EB493B"/>
    <w:rsid w:val="00EB4BBF"/>
    <w:rsid w:val="00EB4FD1"/>
    <w:rsid w:val="00EB5364"/>
    <w:rsid w:val="00EB5855"/>
    <w:rsid w:val="00EB59CF"/>
    <w:rsid w:val="00EB5BF9"/>
    <w:rsid w:val="00EB6E33"/>
    <w:rsid w:val="00EB76E5"/>
    <w:rsid w:val="00EB79E0"/>
    <w:rsid w:val="00EB7A37"/>
    <w:rsid w:val="00EB7E77"/>
    <w:rsid w:val="00EB7FE7"/>
    <w:rsid w:val="00EC101F"/>
    <w:rsid w:val="00EC1116"/>
    <w:rsid w:val="00EC12DB"/>
    <w:rsid w:val="00EC18A4"/>
    <w:rsid w:val="00EC196A"/>
    <w:rsid w:val="00EC1ACB"/>
    <w:rsid w:val="00EC1D40"/>
    <w:rsid w:val="00EC1F96"/>
    <w:rsid w:val="00EC1F9C"/>
    <w:rsid w:val="00EC294A"/>
    <w:rsid w:val="00EC3789"/>
    <w:rsid w:val="00EC3BF0"/>
    <w:rsid w:val="00EC3DBA"/>
    <w:rsid w:val="00EC3FED"/>
    <w:rsid w:val="00EC44F6"/>
    <w:rsid w:val="00EC4591"/>
    <w:rsid w:val="00EC4B78"/>
    <w:rsid w:val="00EC4E0A"/>
    <w:rsid w:val="00EC53E7"/>
    <w:rsid w:val="00EC5B2D"/>
    <w:rsid w:val="00EC68E0"/>
    <w:rsid w:val="00EC6D2E"/>
    <w:rsid w:val="00EC7040"/>
    <w:rsid w:val="00EC7AB6"/>
    <w:rsid w:val="00EC7C1F"/>
    <w:rsid w:val="00EC7E88"/>
    <w:rsid w:val="00ED0291"/>
    <w:rsid w:val="00ED02E2"/>
    <w:rsid w:val="00ED0468"/>
    <w:rsid w:val="00ED0638"/>
    <w:rsid w:val="00ED1462"/>
    <w:rsid w:val="00ED1469"/>
    <w:rsid w:val="00ED15FB"/>
    <w:rsid w:val="00ED1C80"/>
    <w:rsid w:val="00ED1FBB"/>
    <w:rsid w:val="00ED1FF4"/>
    <w:rsid w:val="00ED2225"/>
    <w:rsid w:val="00ED2B31"/>
    <w:rsid w:val="00ED2F03"/>
    <w:rsid w:val="00ED3238"/>
    <w:rsid w:val="00ED3CE9"/>
    <w:rsid w:val="00ED4394"/>
    <w:rsid w:val="00ED470B"/>
    <w:rsid w:val="00ED47F7"/>
    <w:rsid w:val="00ED502A"/>
    <w:rsid w:val="00ED5222"/>
    <w:rsid w:val="00ED52B4"/>
    <w:rsid w:val="00ED5576"/>
    <w:rsid w:val="00ED5851"/>
    <w:rsid w:val="00ED5874"/>
    <w:rsid w:val="00ED5FD7"/>
    <w:rsid w:val="00ED60C6"/>
    <w:rsid w:val="00ED6F16"/>
    <w:rsid w:val="00ED7227"/>
    <w:rsid w:val="00ED7375"/>
    <w:rsid w:val="00EE082D"/>
    <w:rsid w:val="00EE159A"/>
    <w:rsid w:val="00EE193D"/>
    <w:rsid w:val="00EE23F9"/>
    <w:rsid w:val="00EE3AA6"/>
    <w:rsid w:val="00EE440F"/>
    <w:rsid w:val="00EE4708"/>
    <w:rsid w:val="00EE4B28"/>
    <w:rsid w:val="00EE5BC7"/>
    <w:rsid w:val="00EE619D"/>
    <w:rsid w:val="00EE799B"/>
    <w:rsid w:val="00EE7DD7"/>
    <w:rsid w:val="00EF00D7"/>
    <w:rsid w:val="00EF0294"/>
    <w:rsid w:val="00EF0A21"/>
    <w:rsid w:val="00EF0B31"/>
    <w:rsid w:val="00EF0F6D"/>
    <w:rsid w:val="00EF1294"/>
    <w:rsid w:val="00EF1297"/>
    <w:rsid w:val="00EF1317"/>
    <w:rsid w:val="00EF1418"/>
    <w:rsid w:val="00EF1556"/>
    <w:rsid w:val="00EF1A85"/>
    <w:rsid w:val="00EF1B4E"/>
    <w:rsid w:val="00EF1D23"/>
    <w:rsid w:val="00EF1E8A"/>
    <w:rsid w:val="00EF236C"/>
    <w:rsid w:val="00EF2686"/>
    <w:rsid w:val="00EF2966"/>
    <w:rsid w:val="00EF342C"/>
    <w:rsid w:val="00EF3823"/>
    <w:rsid w:val="00EF3B06"/>
    <w:rsid w:val="00EF3BD9"/>
    <w:rsid w:val="00EF3E11"/>
    <w:rsid w:val="00EF42BA"/>
    <w:rsid w:val="00EF4A85"/>
    <w:rsid w:val="00EF4DE1"/>
    <w:rsid w:val="00EF4EC7"/>
    <w:rsid w:val="00EF50F4"/>
    <w:rsid w:val="00EF5476"/>
    <w:rsid w:val="00EF54AF"/>
    <w:rsid w:val="00EF5ADE"/>
    <w:rsid w:val="00EF5DA9"/>
    <w:rsid w:val="00EF5E60"/>
    <w:rsid w:val="00EF618C"/>
    <w:rsid w:val="00EF6DF6"/>
    <w:rsid w:val="00EF6F84"/>
    <w:rsid w:val="00EF705B"/>
    <w:rsid w:val="00EF7323"/>
    <w:rsid w:val="00EF76B9"/>
    <w:rsid w:val="00F009C7"/>
    <w:rsid w:val="00F00D41"/>
    <w:rsid w:val="00F00F55"/>
    <w:rsid w:val="00F0108A"/>
    <w:rsid w:val="00F012AD"/>
    <w:rsid w:val="00F02FD3"/>
    <w:rsid w:val="00F0359E"/>
    <w:rsid w:val="00F03C90"/>
    <w:rsid w:val="00F04273"/>
    <w:rsid w:val="00F04591"/>
    <w:rsid w:val="00F0472C"/>
    <w:rsid w:val="00F04806"/>
    <w:rsid w:val="00F048C0"/>
    <w:rsid w:val="00F049D7"/>
    <w:rsid w:val="00F04C36"/>
    <w:rsid w:val="00F04FBE"/>
    <w:rsid w:val="00F05369"/>
    <w:rsid w:val="00F0538D"/>
    <w:rsid w:val="00F05437"/>
    <w:rsid w:val="00F05D1F"/>
    <w:rsid w:val="00F072AB"/>
    <w:rsid w:val="00F07492"/>
    <w:rsid w:val="00F07504"/>
    <w:rsid w:val="00F10569"/>
    <w:rsid w:val="00F112FA"/>
    <w:rsid w:val="00F1175B"/>
    <w:rsid w:val="00F12ACF"/>
    <w:rsid w:val="00F13F26"/>
    <w:rsid w:val="00F140C7"/>
    <w:rsid w:val="00F14683"/>
    <w:rsid w:val="00F14E5A"/>
    <w:rsid w:val="00F15087"/>
    <w:rsid w:val="00F150BC"/>
    <w:rsid w:val="00F157D1"/>
    <w:rsid w:val="00F15B3E"/>
    <w:rsid w:val="00F15F8E"/>
    <w:rsid w:val="00F17194"/>
    <w:rsid w:val="00F17E58"/>
    <w:rsid w:val="00F2112B"/>
    <w:rsid w:val="00F21836"/>
    <w:rsid w:val="00F21C30"/>
    <w:rsid w:val="00F22340"/>
    <w:rsid w:val="00F224DF"/>
    <w:rsid w:val="00F225DB"/>
    <w:rsid w:val="00F226DB"/>
    <w:rsid w:val="00F2280E"/>
    <w:rsid w:val="00F234F3"/>
    <w:rsid w:val="00F239E5"/>
    <w:rsid w:val="00F240D7"/>
    <w:rsid w:val="00F246FD"/>
    <w:rsid w:val="00F25712"/>
    <w:rsid w:val="00F25B34"/>
    <w:rsid w:val="00F2626C"/>
    <w:rsid w:val="00F26757"/>
    <w:rsid w:val="00F2684B"/>
    <w:rsid w:val="00F273E2"/>
    <w:rsid w:val="00F2769A"/>
    <w:rsid w:val="00F3040C"/>
    <w:rsid w:val="00F304D8"/>
    <w:rsid w:val="00F30584"/>
    <w:rsid w:val="00F31191"/>
    <w:rsid w:val="00F319F7"/>
    <w:rsid w:val="00F31B88"/>
    <w:rsid w:val="00F31F77"/>
    <w:rsid w:val="00F326F4"/>
    <w:rsid w:val="00F32AD9"/>
    <w:rsid w:val="00F346D5"/>
    <w:rsid w:val="00F3491B"/>
    <w:rsid w:val="00F34DE5"/>
    <w:rsid w:val="00F34FEC"/>
    <w:rsid w:val="00F353BB"/>
    <w:rsid w:val="00F3603B"/>
    <w:rsid w:val="00F3606F"/>
    <w:rsid w:val="00F3622D"/>
    <w:rsid w:val="00F36A15"/>
    <w:rsid w:val="00F36BBA"/>
    <w:rsid w:val="00F36BC4"/>
    <w:rsid w:val="00F37119"/>
    <w:rsid w:val="00F403B4"/>
    <w:rsid w:val="00F405E5"/>
    <w:rsid w:val="00F407C3"/>
    <w:rsid w:val="00F40A43"/>
    <w:rsid w:val="00F40EDA"/>
    <w:rsid w:val="00F413FE"/>
    <w:rsid w:val="00F41A6E"/>
    <w:rsid w:val="00F41B2C"/>
    <w:rsid w:val="00F41F55"/>
    <w:rsid w:val="00F421F1"/>
    <w:rsid w:val="00F427B4"/>
    <w:rsid w:val="00F42D0A"/>
    <w:rsid w:val="00F43BA0"/>
    <w:rsid w:val="00F4419C"/>
    <w:rsid w:val="00F4448F"/>
    <w:rsid w:val="00F45551"/>
    <w:rsid w:val="00F45692"/>
    <w:rsid w:val="00F45A91"/>
    <w:rsid w:val="00F45DE1"/>
    <w:rsid w:val="00F46624"/>
    <w:rsid w:val="00F471BC"/>
    <w:rsid w:val="00F472DF"/>
    <w:rsid w:val="00F47C36"/>
    <w:rsid w:val="00F47FE6"/>
    <w:rsid w:val="00F501C7"/>
    <w:rsid w:val="00F5078E"/>
    <w:rsid w:val="00F50A55"/>
    <w:rsid w:val="00F51A5E"/>
    <w:rsid w:val="00F51C25"/>
    <w:rsid w:val="00F51D1E"/>
    <w:rsid w:val="00F52248"/>
    <w:rsid w:val="00F5276F"/>
    <w:rsid w:val="00F53855"/>
    <w:rsid w:val="00F54236"/>
    <w:rsid w:val="00F54BB3"/>
    <w:rsid w:val="00F55CDD"/>
    <w:rsid w:val="00F56F9C"/>
    <w:rsid w:val="00F603B6"/>
    <w:rsid w:val="00F6083B"/>
    <w:rsid w:val="00F6100D"/>
    <w:rsid w:val="00F61977"/>
    <w:rsid w:val="00F61CBE"/>
    <w:rsid w:val="00F621B4"/>
    <w:rsid w:val="00F6222C"/>
    <w:rsid w:val="00F629F1"/>
    <w:rsid w:val="00F62A1D"/>
    <w:rsid w:val="00F6303A"/>
    <w:rsid w:val="00F63F64"/>
    <w:rsid w:val="00F643D9"/>
    <w:rsid w:val="00F65575"/>
    <w:rsid w:val="00F6753A"/>
    <w:rsid w:val="00F67979"/>
    <w:rsid w:val="00F67B83"/>
    <w:rsid w:val="00F67EB2"/>
    <w:rsid w:val="00F701D6"/>
    <w:rsid w:val="00F717C4"/>
    <w:rsid w:val="00F71DFA"/>
    <w:rsid w:val="00F72BF5"/>
    <w:rsid w:val="00F72EA3"/>
    <w:rsid w:val="00F731F1"/>
    <w:rsid w:val="00F732F6"/>
    <w:rsid w:val="00F73669"/>
    <w:rsid w:val="00F736E1"/>
    <w:rsid w:val="00F73A8E"/>
    <w:rsid w:val="00F74834"/>
    <w:rsid w:val="00F74C9D"/>
    <w:rsid w:val="00F74E02"/>
    <w:rsid w:val="00F75CAA"/>
    <w:rsid w:val="00F75FDB"/>
    <w:rsid w:val="00F76828"/>
    <w:rsid w:val="00F80745"/>
    <w:rsid w:val="00F80C7C"/>
    <w:rsid w:val="00F80F20"/>
    <w:rsid w:val="00F8111E"/>
    <w:rsid w:val="00F8175C"/>
    <w:rsid w:val="00F81CFF"/>
    <w:rsid w:val="00F82567"/>
    <w:rsid w:val="00F8375A"/>
    <w:rsid w:val="00F84235"/>
    <w:rsid w:val="00F848B2"/>
    <w:rsid w:val="00F84BB5"/>
    <w:rsid w:val="00F850C2"/>
    <w:rsid w:val="00F85D9A"/>
    <w:rsid w:val="00F86651"/>
    <w:rsid w:val="00F86B3D"/>
    <w:rsid w:val="00F86FAC"/>
    <w:rsid w:val="00F872B6"/>
    <w:rsid w:val="00F90137"/>
    <w:rsid w:val="00F90387"/>
    <w:rsid w:val="00F90D5D"/>
    <w:rsid w:val="00F916F6"/>
    <w:rsid w:val="00F91C2D"/>
    <w:rsid w:val="00F9266F"/>
    <w:rsid w:val="00F93347"/>
    <w:rsid w:val="00F93880"/>
    <w:rsid w:val="00F939FC"/>
    <w:rsid w:val="00F93BCA"/>
    <w:rsid w:val="00F94862"/>
    <w:rsid w:val="00F94B9A"/>
    <w:rsid w:val="00F959CF"/>
    <w:rsid w:val="00F95BC4"/>
    <w:rsid w:val="00F95CAD"/>
    <w:rsid w:val="00F96105"/>
    <w:rsid w:val="00F9686F"/>
    <w:rsid w:val="00F9699F"/>
    <w:rsid w:val="00F976A1"/>
    <w:rsid w:val="00FA0760"/>
    <w:rsid w:val="00FA0E47"/>
    <w:rsid w:val="00FA107A"/>
    <w:rsid w:val="00FA212E"/>
    <w:rsid w:val="00FA23B7"/>
    <w:rsid w:val="00FA2584"/>
    <w:rsid w:val="00FA28D6"/>
    <w:rsid w:val="00FA2F47"/>
    <w:rsid w:val="00FA3ABD"/>
    <w:rsid w:val="00FA4091"/>
    <w:rsid w:val="00FA4EFE"/>
    <w:rsid w:val="00FA51CB"/>
    <w:rsid w:val="00FA550A"/>
    <w:rsid w:val="00FA63DA"/>
    <w:rsid w:val="00FA67B8"/>
    <w:rsid w:val="00FA6809"/>
    <w:rsid w:val="00FA6A5B"/>
    <w:rsid w:val="00FA6B0C"/>
    <w:rsid w:val="00FA6EE2"/>
    <w:rsid w:val="00FA7945"/>
    <w:rsid w:val="00FA7B79"/>
    <w:rsid w:val="00FA7C34"/>
    <w:rsid w:val="00FB03F9"/>
    <w:rsid w:val="00FB068E"/>
    <w:rsid w:val="00FB0B6B"/>
    <w:rsid w:val="00FB10A9"/>
    <w:rsid w:val="00FB10D8"/>
    <w:rsid w:val="00FB234B"/>
    <w:rsid w:val="00FB314F"/>
    <w:rsid w:val="00FB31AA"/>
    <w:rsid w:val="00FB31D7"/>
    <w:rsid w:val="00FB36CB"/>
    <w:rsid w:val="00FB3999"/>
    <w:rsid w:val="00FB39FF"/>
    <w:rsid w:val="00FB3C5D"/>
    <w:rsid w:val="00FB404B"/>
    <w:rsid w:val="00FB42AC"/>
    <w:rsid w:val="00FB4FA0"/>
    <w:rsid w:val="00FB50C6"/>
    <w:rsid w:val="00FB600A"/>
    <w:rsid w:val="00FB731A"/>
    <w:rsid w:val="00FB73D0"/>
    <w:rsid w:val="00FB7A40"/>
    <w:rsid w:val="00FC04ED"/>
    <w:rsid w:val="00FC086C"/>
    <w:rsid w:val="00FC0A1B"/>
    <w:rsid w:val="00FC1EB8"/>
    <w:rsid w:val="00FC23CB"/>
    <w:rsid w:val="00FC2858"/>
    <w:rsid w:val="00FC2C91"/>
    <w:rsid w:val="00FC2D54"/>
    <w:rsid w:val="00FC310B"/>
    <w:rsid w:val="00FC346B"/>
    <w:rsid w:val="00FC4997"/>
    <w:rsid w:val="00FC4BFF"/>
    <w:rsid w:val="00FC5141"/>
    <w:rsid w:val="00FC5372"/>
    <w:rsid w:val="00FC5736"/>
    <w:rsid w:val="00FC5B63"/>
    <w:rsid w:val="00FC5E56"/>
    <w:rsid w:val="00FC6373"/>
    <w:rsid w:val="00FC65BF"/>
    <w:rsid w:val="00FC6993"/>
    <w:rsid w:val="00FC73BE"/>
    <w:rsid w:val="00FC751A"/>
    <w:rsid w:val="00FC7B3C"/>
    <w:rsid w:val="00FC7E5E"/>
    <w:rsid w:val="00FC7E66"/>
    <w:rsid w:val="00FD0F04"/>
    <w:rsid w:val="00FD0F83"/>
    <w:rsid w:val="00FD17A1"/>
    <w:rsid w:val="00FD1A20"/>
    <w:rsid w:val="00FD2093"/>
    <w:rsid w:val="00FD3AD6"/>
    <w:rsid w:val="00FD3C08"/>
    <w:rsid w:val="00FD3DFD"/>
    <w:rsid w:val="00FD41DC"/>
    <w:rsid w:val="00FD4411"/>
    <w:rsid w:val="00FD450D"/>
    <w:rsid w:val="00FD49F1"/>
    <w:rsid w:val="00FD4A14"/>
    <w:rsid w:val="00FD4BC7"/>
    <w:rsid w:val="00FD4C13"/>
    <w:rsid w:val="00FD4CAF"/>
    <w:rsid w:val="00FD4F9D"/>
    <w:rsid w:val="00FD578B"/>
    <w:rsid w:val="00FD593E"/>
    <w:rsid w:val="00FD5975"/>
    <w:rsid w:val="00FD60CF"/>
    <w:rsid w:val="00FD7090"/>
    <w:rsid w:val="00FD7363"/>
    <w:rsid w:val="00FD7B20"/>
    <w:rsid w:val="00FD7D1A"/>
    <w:rsid w:val="00FD7EBB"/>
    <w:rsid w:val="00FE01F1"/>
    <w:rsid w:val="00FE023F"/>
    <w:rsid w:val="00FE0306"/>
    <w:rsid w:val="00FE03E8"/>
    <w:rsid w:val="00FE06EE"/>
    <w:rsid w:val="00FE0C33"/>
    <w:rsid w:val="00FE0EEA"/>
    <w:rsid w:val="00FE1D53"/>
    <w:rsid w:val="00FE2063"/>
    <w:rsid w:val="00FE31FA"/>
    <w:rsid w:val="00FE3661"/>
    <w:rsid w:val="00FE415E"/>
    <w:rsid w:val="00FE590A"/>
    <w:rsid w:val="00FE5C75"/>
    <w:rsid w:val="00FE67C7"/>
    <w:rsid w:val="00FE680A"/>
    <w:rsid w:val="00FE7054"/>
    <w:rsid w:val="00FE76C8"/>
    <w:rsid w:val="00FE76F8"/>
    <w:rsid w:val="00FE7A4E"/>
    <w:rsid w:val="00FE7C88"/>
    <w:rsid w:val="00FF03A7"/>
    <w:rsid w:val="00FF05F7"/>
    <w:rsid w:val="00FF0834"/>
    <w:rsid w:val="00FF08A4"/>
    <w:rsid w:val="00FF08DF"/>
    <w:rsid w:val="00FF0DF2"/>
    <w:rsid w:val="00FF1618"/>
    <w:rsid w:val="00FF1758"/>
    <w:rsid w:val="00FF1E69"/>
    <w:rsid w:val="00FF2361"/>
    <w:rsid w:val="00FF236D"/>
    <w:rsid w:val="00FF29CF"/>
    <w:rsid w:val="00FF303B"/>
    <w:rsid w:val="00FF33BF"/>
    <w:rsid w:val="00FF386D"/>
    <w:rsid w:val="00FF3E37"/>
    <w:rsid w:val="00FF4242"/>
    <w:rsid w:val="00FF42C5"/>
    <w:rsid w:val="00FF4A7D"/>
    <w:rsid w:val="00FF5393"/>
    <w:rsid w:val="00FF5557"/>
    <w:rsid w:val="00FF6063"/>
    <w:rsid w:val="00FF6671"/>
    <w:rsid w:val="00FF6C3F"/>
    <w:rsid w:val="01ED23A2"/>
    <w:rsid w:val="04B07770"/>
    <w:rsid w:val="0A173D95"/>
    <w:rsid w:val="0DD36B62"/>
    <w:rsid w:val="156047C3"/>
    <w:rsid w:val="1845351C"/>
    <w:rsid w:val="1CFF15B1"/>
    <w:rsid w:val="1D8124B6"/>
    <w:rsid w:val="223407CC"/>
    <w:rsid w:val="26DF0896"/>
    <w:rsid w:val="27032FD6"/>
    <w:rsid w:val="3642393A"/>
    <w:rsid w:val="36842ABF"/>
    <w:rsid w:val="37872695"/>
    <w:rsid w:val="3AD25E39"/>
    <w:rsid w:val="3EE65098"/>
    <w:rsid w:val="40B07ADC"/>
    <w:rsid w:val="47C735DD"/>
    <w:rsid w:val="47D6418A"/>
    <w:rsid w:val="4E432B55"/>
    <w:rsid w:val="4F9A7D43"/>
    <w:rsid w:val="5080672B"/>
    <w:rsid w:val="50F278BD"/>
    <w:rsid w:val="55FB399E"/>
    <w:rsid w:val="5E2D782D"/>
    <w:rsid w:val="61D868FF"/>
    <w:rsid w:val="64B07F8C"/>
    <w:rsid w:val="67764EE1"/>
    <w:rsid w:val="67F66142"/>
    <w:rsid w:val="68A130AD"/>
    <w:rsid w:val="6AE434B3"/>
    <w:rsid w:val="6DD35AA5"/>
    <w:rsid w:val="70D2037E"/>
    <w:rsid w:val="73EB55D0"/>
    <w:rsid w:val="74794E83"/>
    <w:rsid w:val="7A693C4C"/>
    <w:rsid w:val="7E3F7F93"/>
    <w:rsid w:val="7E5D5564"/>
    <w:rsid w:val="7ECA1D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iPriority="0" w:semiHidden="0" w:name="heading 2" w:locked="1"/>
    <w:lsdException w:qFormat="1" w:uiPriority="0" w:semiHidden="0" w:name="heading 3" w:locked="1"/>
    <w:lsdException w:qFormat="1" w:uiPriority="9" w:semiHidden="0"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semiHidden="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ocked="1"/>
    <w:lsdException w:qFormat="1" w:uiPriority="39" w:semiHidden="0" w:name="toc 2" w:locked="1"/>
    <w:lsdException w:qFormat="1" w:uiPriority="39" w:semiHidden="0" w:name="toc 3" w:locked="1"/>
    <w:lsdException w:qFormat="1" w:uiPriority="39" w:semiHidden="0" w:name="toc 4" w:locked="1"/>
    <w:lsdException w:qFormat="1" w:uiPriority="39" w:semiHidden="0" w:name="toc 5" w:locked="1"/>
    <w:lsdException w:qFormat="1" w:uiPriority="39" w:semiHidden="0" w:name="toc 6" w:locked="1"/>
    <w:lsdException w:qFormat="1" w:uiPriority="39" w:semiHidden="0" w:name="toc 7" w:locked="1"/>
    <w:lsdException w:qFormat="1" w:uiPriority="39" w:semiHidden="0" w:name="toc 8" w:locked="1"/>
    <w:lsdException w:qFormat="1" w:uiPriority="39" w:semiHidden="0" w:name="toc 9" w:locked="1"/>
    <w:lsdException w:uiPriority="99" w:name="Normal Indent"/>
    <w:lsdException w:qFormat="1" w:uiPriority="99" w:semiHidden="0" w:name="footnote text"/>
    <w:lsdException w:qFormat="1"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qFormat="1" w:uiPriority="99" w:semiHidden="0"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ocked="1"/>
    <w:lsdException w:qFormat="1" w:unhideWhenUsed="0" w:uiPriority="2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37"/>
    <w:qFormat/>
    <w:locked/>
    <w:uiPriority w:val="9"/>
    <w:pPr>
      <w:widowControl/>
      <w:spacing w:before="100" w:beforeAutospacing="1" w:after="100" w:afterAutospacing="1"/>
      <w:jc w:val="left"/>
      <w:outlineLvl w:val="0"/>
    </w:pPr>
    <w:rPr>
      <w:rFonts w:ascii="宋体" w:hAnsi="宋体" w:cs="宋体"/>
      <w:b/>
      <w:bCs/>
      <w:kern w:val="36"/>
      <w:sz w:val="48"/>
      <w:szCs w:val="48"/>
    </w:rPr>
  </w:style>
  <w:style w:type="paragraph" w:styleId="3">
    <w:name w:val="heading 2"/>
    <w:basedOn w:val="1"/>
    <w:next w:val="1"/>
    <w:link w:val="38"/>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9"/>
    <w:unhideWhenUsed/>
    <w:qFormat/>
    <w:locked/>
    <w:uiPriority w:val="0"/>
    <w:pPr>
      <w:keepNext/>
      <w:keepLines/>
      <w:spacing w:before="260" w:after="260" w:line="416" w:lineRule="auto"/>
      <w:outlineLvl w:val="2"/>
    </w:pPr>
    <w:rPr>
      <w:b/>
      <w:bCs/>
      <w:sz w:val="32"/>
      <w:szCs w:val="32"/>
    </w:rPr>
  </w:style>
  <w:style w:type="paragraph" w:styleId="5">
    <w:name w:val="heading 4"/>
    <w:basedOn w:val="1"/>
    <w:next w:val="1"/>
    <w:link w:val="40"/>
    <w:unhideWhenUsed/>
    <w:qFormat/>
    <w:locked/>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41"/>
    <w:semiHidden/>
    <w:unhideWhenUsed/>
    <w:qFormat/>
    <w:locked/>
    <w:uiPriority w:val="9"/>
    <w:pPr>
      <w:keepNext/>
      <w:keepLines/>
      <w:spacing w:before="280" w:after="290" w:line="376" w:lineRule="auto"/>
      <w:outlineLvl w:val="4"/>
    </w:pPr>
    <w:rPr>
      <w:b/>
      <w:bCs/>
      <w:sz w:val="28"/>
      <w:szCs w:val="28"/>
    </w:rPr>
  </w:style>
  <w:style w:type="paragraph" w:styleId="7">
    <w:name w:val="heading 6"/>
    <w:basedOn w:val="1"/>
    <w:next w:val="1"/>
    <w:link w:val="42"/>
    <w:semiHidden/>
    <w:unhideWhenUsed/>
    <w:qFormat/>
    <w:locked/>
    <w:uiPriority w:val="9"/>
    <w:pPr>
      <w:keepNext/>
      <w:keepLines/>
      <w:tabs>
        <w:tab w:val="left" w:pos="360"/>
      </w:tab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43"/>
    <w:semiHidden/>
    <w:unhideWhenUsed/>
    <w:qFormat/>
    <w:locked/>
    <w:uiPriority w:val="9"/>
    <w:pPr>
      <w:keepNext/>
      <w:keepLines/>
      <w:tabs>
        <w:tab w:val="left" w:pos="360"/>
      </w:tabs>
      <w:spacing w:before="240" w:after="64" w:line="320" w:lineRule="auto"/>
      <w:outlineLvl w:val="6"/>
    </w:pPr>
    <w:rPr>
      <w:rFonts w:ascii="仿宋_GB2312" w:hAnsi="等线" w:eastAsia="仿宋_GB2312" w:cs="Times New Roman"/>
      <w:b/>
      <w:bCs/>
      <w:sz w:val="24"/>
      <w:szCs w:val="24"/>
    </w:rPr>
  </w:style>
  <w:style w:type="paragraph" w:styleId="9">
    <w:name w:val="heading 8"/>
    <w:basedOn w:val="1"/>
    <w:next w:val="1"/>
    <w:link w:val="44"/>
    <w:semiHidden/>
    <w:unhideWhenUsed/>
    <w:qFormat/>
    <w:locked/>
    <w:uiPriority w:val="9"/>
    <w:pPr>
      <w:keepNext/>
      <w:keepLines/>
      <w:tabs>
        <w:tab w:val="left" w:pos="360"/>
      </w:tabs>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45"/>
    <w:unhideWhenUsed/>
    <w:qFormat/>
    <w:locked/>
    <w:uiPriority w:val="9"/>
    <w:pPr>
      <w:keepNext/>
      <w:keepLines/>
      <w:spacing w:before="240" w:after="64" w:line="320" w:lineRule="auto"/>
      <w:outlineLvl w:val="8"/>
    </w:pPr>
    <w:rPr>
      <w:rFonts w:asciiTheme="majorHAnsi" w:hAnsiTheme="majorHAnsi" w:eastAsiaTheme="majorEastAsia" w:cstheme="majorBidi"/>
      <w:sz w:val="32"/>
      <w:szCs w:val="28"/>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locked/>
    <w:uiPriority w:val="39"/>
    <w:pPr>
      <w:ind w:left="2520" w:leftChars="1200"/>
    </w:pPr>
    <w:rPr>
      <w:rFonts w:asciiTheme="minorHAnsi" w:hAnsiTheme="minorHAnsi" w:eastAsiaTheme="minorEastAsia" w:cstheme="minorBidi"/>
      <w:szCs w:val="22"/>
    </w:rPr>
  </w:style>
  <w:style w:type="paragraph" w:styleId="12">
    <w:name w:val="annotation text"/>
    <w:basedOn w:val="1"/>
    <w:link w:val="52"/>
    <w:unhideWhenUsed/>
    <w:qFormat/>
    <w:uiPriority w:val="99"/>
    <w:pPr>
      <w:spacing w:line="360" w:lineRule="auto"/>
      <w:ind w:firstLine="200" w:firstLineChars="200"/>
      <w:jc w:val="left"/>
    </w:pPr>
    <w:rPr>
      <w:rFonts w:asciiTheme="minorHAnsi" w:hAnsiTheme="minorHAnsi" w:cstheme="minorBidi"/>
      <w:szCs w:val="22"/>
    </w:rPr>
  </w:style>
  <w:style w:type="paragraph" w:styleId="13">
    <w:name w:val="toc 5"/>
    <w:basedOn w:val="1"/>
    <w:next w:val="1"/>
    <w:unhideWhenUsed/>
    <w:qFormat/>
    <w:locked/>
    <w:uiPriority w:val="39"/>
    <w:pPr>
      <w:ind w:left="1680" w:leftChars="800"/>
    </w:pPr>
    <w:rPr>
      <w:rFonts w:asciiTheme="minorHAnsi" w:hAnsiTheme="minorHAnsi" w:eastAsiaTheme="minorEastAsia" w:cstheme="minorBidi"/>
      <w:szCs w:val="22"/>
    </w:rPr>
  </w:style>
  <w:style w:type="paragraph" w:styleId="14">
    <w:name w:val="toc 3"/>
    <w:basedOn w:val="1"/>
    <w:next w:val="1"/>
    <w:unhideWhenUsed/>
    <w:qFormat/>
    <w:locked/>
    <w:uiPriority w:val="39"/>
    <w:pPr>
      <w:widowControl/>
      <w:spacing w:after="100" w:line="259" w:lineRule="auto"/>
      <w:ind w:left="440"/>
      <w:jc w:val="left"/>
    </w:pPr>
    <w:rPr>
      <w:rFonts w:cs="Times New Roman" w:asciiTheme="minorHAnsi" w:hAnsiTheme="minorHAnsi" w:eastAsiaTheme="minorEastAsia"/>
      <w:kern w:val="0"/>
      <w:sz w:val="22"/>
      <w:szCs w:val="22"/>
    </w:rPr>
  </w:style>
  <w:style w:type="paragraph" w:styleId="15">
    <w:name w:val="toc 8"/>
    <w:basedOn w:val="1"/>
    <w:next w:val="1"/>
    <w:unhideWhenUsed/>
    <w:qFormat/>
    <w:locked/>
    <w:uiPriority w:val="39"/>
    <w:pPr>
      <w:ind w:left="2940" w:leftChars="1400"/>
    </w:pPr>
    <w:rPr>
      <w:rFonts w:asciiTheme="minorHAnsi" w:hAnsiTheme="minorHAnsi" w:eastAsiaTheme="minorEastAsia" w:cstheme="minorBidi"/>
      <w:szCs w:val="22"/>
    </w:rPr>
  </w:style>
  <w:style w:type="paragraph" w:styleId="16">
    <w:name w:val="Date"/>
    <w:basedOn w:val="1"/>
    <w:next w:val="1"/>
    <w:link w:val="78"/>
    <w:semiHidden/>
    <w:unhideWhenUsed/>
    <w:qFormat/>
    <w:uiPriority w:val="99"/>
    <w:pPr>
      <w:ind w:left="100" w:leftChars="2500"/>
    </w:pPr>
  </w:style>
  <w:style w:type="paragraph" w:styleId="17">
    <w:name w:val="Balloon Text"/>
    <w:basedOn w:val="1"/>
    <w:link w:val="50"/>
    <w:semiHidden/>
    <w:unhideWhenUsed/>
    <w:qFormat/>
    <w:uiPriority w:val="99"/>
    <w:rPr>
      <w:sz w:val="18"/>
      <w:szCs w:val="18"/>
    </w:rPr>
  </w:style>
  <w:style w:type="paragraph" w:styleId="18">
    <w:name w:val="footer"/>
    <w:basedOn w:val="1"/>
    <w:link w:val="47"/>
    <w:qFormat/>
    <w:uiPriority w:val="99"/>
    <w:pPr>
      <w:tabs>
        <w:tab w:val="center" w:pos="4153"/>
        <w:tab w:val="right" w:pos="8306"/>
      </w:tabs>
      <w:snapToGrid w:val="0"/>
      <w:jc w:val="left"/>
    </w:pPr>
    <w:rPr>
      <w:sz w:val="18"/>
      <w:szCs w:val="18"/>
    </w:rPr>
  </w:style>
  <w:style w:type="paragraph" w:styleId="19">
    <w:name w:val="header"/>
    <w:basedOn w:val="1"/>
    <w:link w:val="46"/>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locked/>
    <w:uiPriority w:val="39"/>
    <w:pPr>
      <w:widowControl/>
      <w:tabs>
        <w:tab w:val="right" w:leader="dot" w:pos="8296"/>
      </w:tabs>
      <w:spacing w:after="100"/>
      <w:jc w:val="left"/>
    </w:pPr>
    <w:rPr>
      <w:rFonts w:cs="Times New Roman" w:asciiTheme="minorHAnsi" w:hAnsiTheme="minorHAnsi" w:eastAsiaTheme="minorEastAsia"/>
      <w:kern w:val="0"/>
      <w:sz w:val="22"/>
      <w:szCs w:val="22"/>
    </w:rPr>
  </w:style>
  <w:style w:type="paragraph" w:styleId="21">
    <w:name w:val="toc 4"/>
    <w:basedOn w:val="1"/>
    <w:next w:val="1"/>
    <w:unhideWhenUsed/>
    <w:qFormat/>
    <w:locked/>
    <w:uiPriority w:val="39"/>
    <w:pPr>
      <w:ind w:left="1260" w:leftChars="600"/>
    </w:pPr>
    <w:rPr>
      <w:rFonts w:asciiTheme="minorHAnsi" w:hAnsiTheme="minorHAnsi" w:eastAsiaTheme="minorEastAsia" w:cstheme="minorBidi"/>
      <w:szCs w:val="22"/>
    </w:rPr>
  </w:style>
  <w:style w:type="paragraph" w:styleId="22">
    <w:name w:val="footnote text"/>
    <w:basedOn w:val="1"/>
    <w:link w:val="72"/>
    <w:unhideWhenUsed/>
    <w:qFormat/>
    <w:uiPriority w:val="99"/>
    <w:pPr>
      <w:snapToGrid w:val="0"/>
      <w:jc w:val="left"/>
    </w:pPr>
    <w:rPr>
      <w:rFonts w:ascii="Times New Roman" w:hAnsi="Times New Roman" w:eastAsia="仿宋_GB2312" w:cstheme="minorBidi"/>
      <w:sz w:val="18"/>
      <w:szCs w:val="18"/>
    </w:rPr>
  </w:style>
  <w:style w:type="paragraph" w:styleId="23">
    <w:name w:val="toc 6"/>
    <w:basedOn w:val="1"/>
    <w:next w:val="1"/>
    <w:unhideWhenUsed/>
    <w:qFormat/>
    <w:locked/>
    <w:uiPriority w:val="39"/>
    <w:pPr>
      <w:ind w:left="2100" w:leftChars="1000"/>
    </w:pPr>
    <w:rPr>
      <w:rFonts w:asciiTheme="minorHAnsi" w:hAnsiTheme="minorHAnsi" w:eastAsiaTheme="minorEastAsia" w:cstheme="minorBidi"/>
      <w:szCs w:val="22"/>
    </w:rPr>
  </w:style>
  <w:style w:type="paragraph" w:styleId="24">
    <w:name w:val="toc 2"/>
    <w:basedOn w:val="1"/>
    <w:next w:val="1"/>
    <w:unhideWhenUsed/>
    <w:qFormat/>
    <w:locked/>
    <w:uiPriority w:val="39"/>
    <w:pPr>
      <w:widowControl/>
      <w:tabs>
        <w:tab w:val="right" w:leader="dot" w:pos="8296"/>
      </w:tabs>
      <w:spacing w:after="100"/>
      <w:ind w:left="220"/>
      <w:jc w:val="left"/>
    </w:pPr>
    <w:rPr>
      <w:rFonts w:ascii="楷体_GB2312" w:hAnsi="黑体" w:eastAsia="楷体_GB2312" w:cs="仿宋_GB2312"/>
      <w:color w:val="000000" w:themeColor="text1"/>
      <w:kern w:val="0"/>
      <w:sz w:val="28"/>
      <w:szCs w:val="28"/>
      <w14:textFill>
        <w14:solidFill>
          <w14:schemeClr w14:val="tx1"/>
        </w14:solidFill>
      </w14:textFill>
    </w:rPr>
  </w:style>
  <w:style w:type="paragraph" w:styleId="25">
    <w:name w:val="toc 9"/>
    <w:basedOn w:val="1"/>
    <w:next w:val="1"/>
    <w:unhideWhenUsed/>
    <w:qFormat/>
    <w:locked/>
    <w:uiPriority w:val="39"/>
    <w:pPr>
      <w:ind w:left="3360" w:leftChars="1600"/>
    </w:pPr>
    <w:rPr>
      <w:rFonts w:asciiTheme="minorHAnsi" w:hAnsiTheme="minorHAnsi" w:eastAsiaTheme="minorEastAsia" w:cstheme="minorBidi"/>
      <w:szCs w:val="22"/>
    </w:rPr>
  </w:style>
  <w:style w:type="paragraph" w:styleId="26">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27">
    <w:name w:val="annotation subject"/>
    <w:basedOn w:val="12"/>
    <w:next w:val="12"/>
    <w:link w:val="54"/>
    <w:semiHidden/>
    <w:unhideWhenUsed/>
    <w:qFormat/>
    <w:uiPriority w:val="99"/>
    <w:pPr>
      <w:spacing w:line="240" w:lineRule="auto"/>
      <w:ind w:firstLine="0" w:firstLineChars="0"/>
    </w:pPr>
    <w:rPr>
      <w:rFonts w:ascii="Calibri" w:hAnsi="Calibri" w:cs="Calibri"/>
      <w:b/>
      <w:bCs/>
      <w:szCs w:val="21"/>
    </w:rPr>
  </w:style>
  <w:style w:type="table" w:styleId="29">
    <w:name w:val="Table Grid"/>
    <w:basedOn w:val="28"/>
    <w:qFormat/>
    <w:locked/>
    <w:uiPriority w:val="0"/>
    <w:pPr>
      <w:widowControl w:val="0"/>
      <w:jc w:val="both"/>
    </w:pPr>
    <w:rPr>
      <w:rFonts w:eastAsia="PMingLi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locked/>
    <w:uiPriority w:val="22"/>
    <w:rPr>
      <w:b/>
      <w:bCs/>
    </w:rPr>
  </w:style>
  <w:style w:type="character" w:styleId="32">
    <w:name w:val="FollowedHyperlink"/>
    <w:basedOn w:val="30"/>
    <w:semiHidden/>
    <w:unhideWhenUsed/>
    <w:qFormat/>
    <w:uiPriority w:val="99"/>
    <w:rPr>
      <w:color w:val="800080" w:themeColor="followedHyperlink"/>
      <w:u w:val="single"/>
      <w14:textFill>
        <w14:solidFill>
          <w14:schemeClr w14:val="folHlink"/>
        </w14:solidFill>
      </w14:textFill>
    </w:rPr>
  </w:style>
  <w:style w:type="character" w:styleId="33">
    <w:name w:val="Emphasis"/>
    <w:basedOn w:val="30"/>
    <w:qFormat/>
    <w:locked/>
    <w:uiPriority w:val="20"/>
    <w:rPr>
      <w:i/>
      <w:iCs/>
    </w:rPr>
  </w:style>
  <w:style w:type="character" w:styleId="34">
    <w:name w:val="Hyperlink"/>
    <w:basedOn w:val="30"/>
    <w:unhideWhenUsed/>
    <w:qFormat/>
    <w:uiPriority w:val="99"/>
    <w:rPr>
      <w:color w:val="0000FF"/>
      <w:u w:val="single"/>
    </w:rPr>
  </w:style>
  <w:style w:type="character" w:styleId="35">
    <w:name w:val="annotation reference"/>
    <w:basedOn w:val="30"/>
    <w:semiHidden/>
    <w:unhideWhenUsed/>
    <w:qFormat/>
    <w:uiPriority w:val="99"/>
    <w:rPr>
      <w:sz w:val="21"/>
      <w:szCs w:val="21"/>
    </w:rPr>
  </w:style>
  <w:style w:type="character" w:styleId="36">
    <w:name w:val="footnote reference"/>
    <w:basedOn w:val="30"/>
    <w:unhideWhenUsed/>
    <w:qFormat/>
    <w:uiPriority w:val="99"/>
    <w:rPr>
      <w:vertAlign w:val="superscript"/>
    </w:rPr>
  </w:style>
  <w:style w:type="character" w:customStyle="1" w:styleId="37">
    <w:name w:val="标题 1 字符"/>
    <w:basedOn w:val="30"/>
    <w:link w:val="2"/>
    <w:qFormat/>
    <w:uiPriority w:val="9"/>
    <w:rPr>
      <w:rFonts w:ascii="宋体" w:hAnsi="宋体" w:cs="宋体"/>
      <w:b/>
      <w:bCs/>
      <w:kern w:val="36"/>
      <w:sz w:val="48"/>
      <w:szCs w:val="48"/>
    </w:rPr>
  </w:style>
  <w:style w:type="character" w:customStyle="1" w:styleId="38">
    <w:name w:val="标题 2 字符"/>
    <w:basedOn w:val="30"/>
    <w:link w:val="3"/>
    <w:qFormat/>
    <w:uiPriority w:val="0"/>
    <w:rPr>
      <w:rFonts w:asciiTheme="majorHAnsi" w:hAnsiTheme="majorHAnsi" w:eastAsiaTheme="majorEastAsia" w:cstheme="majorBidi"/>
      <w:b/>
      <w:bCs/>
      <w:sz w:val="32"/>
      <w:szCs w:val="32"/>
    </w:rPr>
  </w:style>
  <w:style w:type="character" w:customStyle="1" w:styleId="39">
    <w:name w:val="标题 3 字符"/>
    <w:basedOn w:val="30"/>
    <w:link w:val="4"/>
    <w:qFormat/>
    <w:uiPriority w:val="9"/>
    <w:rPr>
      <w:rFonts w:cs="Calibri"/>
      <w:b/>
      <w:bCs/>
      <w:sz w:val="32"/>
      <w:szCs w:val="32"/>
    </w:rPr>
  </w:style>
  <w:style w:type="character" w:customStyle="1" w:styleId="40">
    <w:name w:val="标题 4 字符"/>
    <w:basedOn w:val="30"/>
    <w:link w:val="5"/>
    <w:qFormat/>
    <w:uiPriority w:val="0"/>
    <w:rPr>
      <w:rFonts w:asciiTheme="majorHAnsi" w:hAnsiTheme="majorHAnsi" w:eastAsiaTheme="majorEastAsia" w:cstheme="majorBidi"/>
      <w:b/>
      <w:bCs/>
      <w:sz w:val="28"/>
      <w:szCs w:val="28"/>
    </w:rPr>
  </w:style>
  <w:style w:type="character" w:customStyle="1" w:styleId="41">
    <w:name w:val="标题 5 字符"/>
    <w:basedOn w:val="30"/>
    <w:link w:val="6"/>
    <w:qFormat/>
    <w:uiPriority w:val="0"/>
    <w:rPr>
      <w:rFonts w:cs="Calibri"/>
      <w:b/>
      <w:bCs/>
      <w:sz w:val="28"/>
      <w:szCs w:val="28"/>
    </w:rPr>
  </w:style>
  <w:style w:type="character" w:customStyle="1" w:styleId="42">
    <w:name w:val="标题 6 字符"/>
    <w:basedOn w:val="30"/>
    <w:link w:val="7"/>
    <w:semiHidden/>
    <w:qFormat/>
    <w:uiPriority w:val="9"/>
    <w:rPr>
      <w:rFonts w:asciiTheme="majorHAnsi" w:hAnsiTheme="majorHAnsi" w:eastAsiaTheme="majorEastAsia" w:cstheme="majorBidi"/>
      <w:b/>
      <w:bCs/>
      <w:sz w:val="24"/>
      <w:szCs w:val="24"/>
    </w:rPr>
  </w:style>
  <w:style w:type="character" w:customStyle="1" w:styleId="43">
    <w:name w:val="标题 7 字符"/>
    <w:basedOn w:val="30"/>
    <w:link w:val="8"/>
    <w:semiHidden/>
    <w:qFormat/>
    <w:uiPriority w:val="9"/>
    <w:rPr>
      <w:rFonts w:ascii="仿宋_GB2312" w:hAnsi="等线" w:eastAsia="仿宋_GB2312"/>
      <w:b/>
      <w:bCs/>
      <w:sz w:val="24"/>
      <w:szCs w:val="24"/>
    </w:rPr>
  </w:style>
  <w:style w:type="character" w:customStyle="1" w:styleId="44">
    <w:name w:val="标题 8 字符"/>
    <w:basedOn w:val="30"/>
    <w:link w:val="9"/>
    <w:semiHidden/>
    <w:qFormat/>
    <w:uiPriority w:val="9"/>
    <w:rPr>
      <w:rFonts w:asciiTheme="majorHAnsi" w:hAnsiTheme="majorHAnsi" w:eastAsiaTheme="majorEastAsia" w:cstheme="majorBidi"/>
      <w:sz w:val="24"/>
      <w:szCs w:val="24"/>
    </w:rPr>
  </w:style>
  <w:style w:type="character" w:customStyle="1" w:styleId="45">
    <w:name w:val="标题 9 字符"/>
    <w:basedOn w:val="30"/>
    <w:link w:val="10"/>
    <w:qFormat/>
    <w:uiPriority w:val="9"/>
    <w:rPr>
      <w:rFonts w:asciiTheme="majorHAnsi" w:hAnsiTheme="majorHAnsi" w:eastAsiaTheme="majorEastAsia" w:cstheme="majorBidi"/>
      <w:sz w:val="32"/>
      <w:szCs w:val="28"/>
    </w:rPr>
  </w:style>
  <w:style w:type="character" w:customStyle="1" w:styleId="46">
    <w:name w:val="页眉 字符"/>
    <w:basedOn w:val="30"/>
    <w:link w:val="19"/>
    <w:qFormat/>
    <w:locked/>
    <w:uiPriority w:val="99"/>
    <w:rPr>
      <w:sz w:val="18"/>
      <w:szCs w:val="18"/>
    </w:rPr>
  </w:style>
  <w:style w:type="character" w:customStyle="1" w:styleId="47">
    <w:name w:val="页脚 字符"/>
    <w:basedOn w:val="30"/>
    <w:link w:val="18"/>
    <w:qFormat/>
    <w:locked/>
    <w:uiPriority w:val="99"/>
    <w:rPr>
      <w:sz w:val="18"/>
      <w:szCs w:val="18"/>
    </w:rPr>
  </w:style>
  <w:style w:type="character" w:customStyle="1" w:styleId="48">
    <w:name w:val="fontstyle01"/>
    <w:basedOn w:val="30"/>
    <w:qFormat/>
    <w:uiPriority w:val="0"/>
    <w:rPr>
      <w:rFonts w:ascii="仿宋_GB2312" w:eastAsia="仿宋_GB2312" w:cs="仿宋_GB2312"/>
      <w:color w:val="000000"/>
      <w:sz w:val="32"/>
      <w:szCs w:val="32"/>
    </w:rPr>
  </w:style>
  <w:style w:type="character" w:customStyle="1" w:styleId="49">
    <w:name w:val="fontstyle11"/>
    <w:basedOn w:val="30"/>
    <w:qFormat/>
    <w:uiPriority w:val="0"/>
    <w:rPr>
      <w:rFonts w:hint="default" w:ascii="FSJ-PK74820000048-Identity-H" w:hAnsi="FSJ-PK74820000048-Identity-H"/>
      <w:color w:val="000000"/>
      <w:sz w:val="60"/>
      <w:szCs w:val="60"/>
    </w:rPr>
  </w:style>
  <w:style w:type="character" w:customStyle="1" w:styleId="50">
    <w:name w:val="批注框文本 字符"/>
    <w:basedOn w:val="30"/>
    <w:link w:val="17"/>
    <w:semiHidden/>
    <w:qFormat/>
    <w:uiPriority w:val="99"/>
    <w:rPr>
      <w:rFonts w:cs="Calibri"/>
      <w:sz w:val="18"/>
      <w:szCs w:val="18"/>
    </w:rPr>
  </w:style>
  <w:style w:type="paragraph" w:customStyle="1" w:styleId="51">
    <w:name w:val="正文缩进1"/>
    <w:basedOn w:val="1"/>
    <w:qFormat/>
    <w:uiPriority w:val="0"/>
    <w:pPr>
      <w:ind w:firstLine="420" w:firstLineChars="200"/>
    </w:pPr>
    <w:rPr>
      <w:rFonts w:cs="Times New Roman"/>
      <w:szCs w:val="24"/>
    </w:rPr>
  </w:style>
  <w:style w:type="character" w:customStyle="1" w:styleId="52">
    <w:name w:val="批注文字 字符"/>
    <w:basedOn w:val="30"/>
    <w:link w:val="12"/>
    <w:qFormat/>
    <w:uiPriority w:val="99"/>
    <w:rPr>
      <w:rFonts w:asciiTheme="minorHAnsi" w:hAnsiTheme="minorHAnsi" w:cstheme="minorBidi"/>
    </w:rPr>
  </w:style>
  <w:style w:type="paragraph" w:styleId="53">
    <w:name w:val="List Paragraph"/>
    <w:basedOn w:val="1"/>
    <w:qFormat/>
    <w:uiPriority w:val="34"/>
    <w:pPr>
      <w:ind w:firstLine="420" w:firstLineChars="200"/>
    </w:pPr>
    <w:rPr>
      <w:rFonts w:asciiTheme="minorHAnsi" w:hAnsiTheme="minorHAnsi" w:eastAsiaTheme="minorEastAsia" w:cstheme="minorBidi"/>
      <w:szCs w:val="22"/>
    </w:rPr>
  </w:style>
  <w:style w:type="character" w:customStyle="1" w:styleId="54">
    <w:name w:val="批注主题 字符"/>
    <w:basedOn w:val="52"/>
    <w:link w:val="27"/>
    <w:semiHidden/>
    <w:qFormat/>
    <w:uiPriority w:val="99"/>
    <w:rPr>
      <w:rFonts w:cs="Calibri" w:asciiTheme="minorHAnsi" w:hAnsiTheme="minorHAnsi"/>
      <w:b/>
      <w:bCs/>
      <w:szCs w:val="21"/>
    </w:rPr>
  </w:style>
  <w:style w:type="paragraph" w:customStyle="1" w:styleId="55">
    <w:name w:val="修订1"/>
    <w:hidden/>
    <w:semiHidden/>
    <w:qFormat/>
    <w:uiPriority w:val="99"/>
    <w:rPr>
      <w:rFonts w:ascii="Calibri" w:hAnsi="Calibri" w:eastAsia="宋体" w:cs="Calibri"/>
      <w:kern w:val="2"/>
      <w:sz w:val="21"/>
      <w:szCs w:val="21"/>
      <w:lang w:val="en-US" w:eastAsia="zh-CN" w:bidi="ar-SA"/>
    </w:rPr>
  </w:style>
  <w:style w:type="paragraph" w:customStyle="1" w:styleId="56">
    <w:name w:val="WPSOffice手动目录 1"/>
    <w:qFormat/>
    <w:uiPriority w:val="0"/>
    <w:rPr>
      <w:rFonts w:ascii="Times New Roman" w:hAnsi="Times New Roman" w:eastAsia="宋体" w:cs="Times New Roman"/>
      <w:lang w:val="en-US" w:eastAsia="zh-CN" w:bidi="ar-SA"/>
    </w:rPr>
  </w:style>
  <w:style w:type="paragraph" w:customStyle="1" w:styleId="57">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58">
    <w:name w:val="TOC 标题1"/>
    <w:basedOn w:val="2"/>
    <w:next w:val="1"/>
    <w:unhideWhenUsed/>
    <w:qFormat/>
    <w:uiPriority w:val="39"/>
    <w:pPr>
      <w:keepNext/>
      <w:keepLines/>
      <w:spacing w:before="240" w:beforeAutospacing="0" w:after="0" w:afterAutospacing="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59">
    <w:name w:val="正文-段落"/>
    <w:qFormat/>
    <w:uiPriority w:val="0"/>
    <w:pPr>
      <w:spacing w:line="360" w:lineRule="auto"/>
      <w:ind w:firstLine="200" w:firstLineChars="200"/>
    </w:pPr>
    <w:rPr>
      <w:rFonts w:ascii="Times New Roman" w:hAnsi="Times New Roman" w:eastAsia="宋体" w:cs="宋体"/>
      <w:sz w:val="24"/>
      <w:szCs w:val="24"/>
      <w:lang w:val="en-GB" w:eastAsia="zh-CN" w:bidi="ar-SA"/>
    </w:rPr>
  </w:style>
  <w:style w:type="paragraph" w:customStyle="1" w:styleId="60">
    <w:name w:val="正文1"/>
    <w:basedOn w:val="1"/>
    <w:link w:val="61"/>
    <w:qFormat/>
    <w:uiPriority w:val="0"/>
    <w:pPr>
      <w:spacing w:line="360" w:lineRule="auto"/>
      <w:ind w:firstLine="640" w:firstLineChars="200"/>
    </w:pPr>
    <w:rPr>
      <w:rFonts w:ascii="Times New Roman" w:hAnsi="Times New Roman" w:eastAsia="仿宋" w:cs="宋体"/>
      <w:color w:val="000000"/>
      <w:sz w:val="32"/>
      <w:szCs w:val="28"/>
    </w:rPr>
  </w:style>
  <w:style w:type="character" w:customStyle="1" w:styleId="61">
    <w:name w:val="正文1 Char"/>
    <w:basedOn w:val="30"/>
    <w:link w:val="60"/>
    <w:qFormat/>
    <w:uiPriority w:val="0"/>
    <w:rPr>
      <w:rFonts w:ascii="Times New Roman" w:hAnsi="Times New Roman" w:eastAsia="仿宋" w:cs="宋体"/>
      <w:color w:val="000000"/>
      <w:sz w:val="32"/>
      <w:szCs w:val="28"/>
    </w:rPr>
  </w:style>
  <w:style w:type="paragraph" w:customStyle="1" w:styleId="62">
    <w:name w:val="__正文"/>
    <w:basedOn w:val="1"/>
    <w:next w:val="1"/>
    <w:link w:val="63"/>
    <w:qFormat/>
    <w:uiPriority w:val="0"/>
    <w:pPr>
      <w:spacing w:line="360" w:lineRule="auto"/>
      <w:ind w:firstLine="200" w:firstLineChars="200"/>
    </w:pPr>
    <w:rPr>
      <w:rFonts w:ascii="Times New Roman" w:hAnsi="Times New Roman" w:cs="Times New Roman"/>
      <w:kern w:val="0"/>
      <w:sz w:val="24"/>
      <w:szCs w:val="24"/>
      <w:lang w:val="zh-CN"/>
    </w:rPr>
  </w:style>
  <w:style w:type="character" w:customStyle="1" w:styleId="63">
    <w:name w:val="__正文 Char"/>
    <w:link w:val="62"/>
    <w:qFormat/>
    <w:uiPriority w:val="0"/>
    <w:rPr>
      <w:rFonts w:ascii="Times New Roman" w:hAnsi="Times New Roman"/>
      <w:kern w:val="0"/>
      <w:sz w:val="24"/>
      <w:szCs w:val="24"/>
      <w:lang w:val="zh-CN"/>
    </w:rPr>
  </w:style>
  <w:style w:type="paragraph" w:customStyle="1" w:styleId="64">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5">
    <w:name w:val="CM正文缩进 Char"/>
    <w:link w:val="66"/>
    <w:qFormat/>
    <w:uiPriority w:val="0"/>
    <w:rPr>
      <w:sz w:val="22"/>
    </w:rPr>
  </w:style>
  <w:style w:type="paragraph" w:customStyle="1" w:styleId="66">
    <w:name w:val="CM正文缩进"/>
    <w:basedOn w:val="1"/>
    <w:link w:val="65"/>
    <w:qFormat/>
    <w:uiPriority w:val="0"/>
    <w:pPr>
      <w:spacing w:beforeLines="50" w:afterLines="50" w:line="480" w:lineRule="exact"/>
      <w:ind w:firstLine="200" w:firstLineChars="200"/>
    </w:pPr>
    <w:rPr>
      <w:rFonts w:cs="Times New Roman"/>
      <w:sz w:val="22"/>
      <w:szCs w:val="22"/>
    </w:rPr>
  </w:style>
  <w:style w:type="paragraph" w:customStyle="1" w:styleId="67">
    <w:name w:val="Char Char Char Char Char Char Char"/>
    <w:basedOn w:val="1"/>
    <w:qFormat/>
    <w:uiPriority w:val="0"/>
    <w:rPr>
      <w:rFonts w:ascii="Times New Roman" w:hAnsi="Times New Roman" w:eastAsia="方正仿宋_GBK" w:cs="Times New Roman"/>
      <w:sz w:val="32"/>
      <w:szCs w:val="20"/>
    </w:rPr>
  </w:style>
  <w:style w:type="character" w:customStyle="1" w:styleId="68">
    <w:name w:val="未处理的提及1"/>
    <w:basedOn w:val="30"/>
    <w:semiHidden/>
    <w:unhideWhenUsed/>
    <w:qFormat/>
    <w:uiPriority w:val="99"/>
    <w:rPr>
      <w:color w:val="605E5C"/>
      <w:shd w:val="clear" w:color="auto" w:fill="E1DFDD"/>
    </w:rPr>
  </w:style>
  <w:style w:type="character" w:customStyle="1" w:styleId="69">
    <w:name w:val="未处理的提及2"/>
    <w:basedOn w:val="30"/>
    <w:semiHidden/>
    <w:unhideWhenUsed/>
    <w:qFormat/>
    <w:uiPriority w:val="99"/>
    <w:rPr>
      <w:color w:val="605E5C"/>
      <w:shd w:val="clear" w:color="auto" w:fill="E1DFDD"/>
    </w:rPr>
  </w:style>
  <w:style w:type="character" w:customStyle="1" w:styleId="70">
    <w:name w:val="bjh-h3"/>
    <w:basedOn w:val="30"/>
    <w:qFormat/>
    <w:uiPriority w:val="0"/>
  </w:style>
  <w:style w:type="character" w:customStyle="1" w:styleId="71">
    <w:name w:val="bjh-p"/>
    <w:basedOn w:val="30"/>
    <w:qFormat/>
    <w:uiPriority w:val="0"/>
  </w:style>
  <w:style w:type="character" w:customStyle="1" w:styleId="72">
    <w:name w:val="脚注文本 字符"/>
    <w:basedOn w:val="30"/>
    <w:link w:val="22"/>
    <w:qFormat/>
    <w:uiPriority w:val="99"/>
    <w:rPr>
      <w:rFonts w:ascii="Times New Roman" w:hAnsi="Times New Roman" w:eastAsia="仿宋_GB2312" w:cstheme="minorBidi"/>
      <w:sz w:val="18"/>
      <w:szCs w:val="18"/>
    </w:rPr>
  </w:style>
  <w:style w:type="character" w:customStyle="1" w:styleId="73">
    <w:name w:val="未处理的提及3"/>
    <w:basedOn w:val="30"/>
    <w:semiHidden/>
    <w:unhideWhenUsed/>
    <w:qFormat/>
    <w:uiPriority w:val="99"/>
    <w:rPr>
      <w:color w:val="605E5C"/>
      <w:shd w:val="clear" w:color="auto" w:fill="E1DFDD"/>
    </w:rPr>
  </w:style>
  <w:style w:type="character" w:customStyle="1" w:styleId="74">
    <w:name w:val="未处理的提及4"/>
    <w:basedOn w:val="30"/>
    <w:semiHidden/>
    <w:unhideWhenUsed/>
    <w:qFormat/>
    <w:uiPriority w:val="99"/>
    <w:rPr>
      <w:color w:val="605E5C"/>
      <w:shd w:val="clear" w:color="auto" w:fill="E1DFDD"/>
    </w:rPr>
  </w:style>
  <w:style w:type="paragraph" w:customStyle="1" w:styleId="75">
    <w:name w:val="修订2"/>
    <w:hidden/>
    <w:semiHidden/>
    <w:qFormat/>
    <w:uiPriority w:val="99"/>
    <w:rPr>
      <w:rFonts w:ascii="Calibri" w:hAnsi="Calibri" w:eastAsia="宋体" w:cs="Calibri"/>
      <w:kern w:val="2"/>
      <w:sz w:val="21"/>
      <w:szCs w:val="21"/>
      <w:lang w:val="en-US" w:eastAsia="zh-CN" w:bidi="ar-SA"/>
    </w:rPr>
  </w:style>
  <w:style w:type="character" w:customStyle="1" w:styleId="76">
    <w:name w:val="未处理的提及5"/>
    <w:basedOn w:val="30"/>
    <w:semiHidden/>
    <w:unhideWhenUsed/>
    <w:qFormat/>
    <w:uiPriority w:val="99"/>
    <w:rPr>
      <w:color w:val="605E5C"/>
      <w:shd w:val="clear" w:color="auto" w:fill="E1DFDD"/>
    </w:rPr>
  </w:style>
  <w:style w:type="character" w:customStyle="1" w:styleId="77">
    <w:name w:val="Unresolved Mention"/>
    <w:basedOn w:val="30"/>
    <w:semiHidden/>
    <w:unhideWhenUsed/>
    <w:qFormat/>
    <w:uiPriority w:val="99"/>
    <w:rPr>
      <w:color w:val="605E5C"/>
      <w:shd w:val="clear" w:color="auto" w:fill="E1DFDD"/>
    </w:rPr>
  </w:style>
  <w:style w:type="character" w:customStyle="1" w:styleId="78">
    <w:name w:val="日期 字符"/>
    <w:basedOn w:val="30"/>
    <w:link w:val="16"/>
    <w:semiHidden/>
    <w:qFormat/>
    <w:uiPriority w:val="99"/>
    <w:rPr>
      <w:rFonts w:ascii="Calibri" w:hAnsi="Calibri" w:cs="Calibri"/>
      <w:kern w:val="2"/>
      <w:sz w:val="21"/>
      <w:szCs w:val="21"/>
    </w:rPr>
  </w:style>
  <w:style w:type="paragraph" w:customStyle="1" w:styleId="79">
    <w:name w:val="Revision"/>
    <w:hidden/>
    <w:semiHidden/>
    <w:uiPriority w:val="99"/>
    <w:rPr>
      <w:rFonts w:ascii="Calibri" w:hAnsi="Calibri" w:eastAsia="宋体" w:cs="Calibri"/>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869E11-B0E7-455A-9B77-C68BA00EE37E}">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57</Pages>
  <Words>4386</Words>
  <Characters>25001</Characters>
  <Lines>208</Lines>
  <Paragraphs>58</Paragraphs>
  <TotalTime>14343</TotalTime>
  <ScaleCrop>false</ScaleCrop>
  <LinksUpToDate>false</LinksUpToDate>
  <CharactersWithSpaces>29329</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2021-04-01T03:17:00Z</dcterms:created>
  <dc:creator>Administrator</dc:creator>
  <cp:lastModifiedBy>韦伟</cp:lastModifiedBy>
  <cp:lastPrinted>2021-06-04T06:12:00Z</cp:lastPrinted>
  <dcterms:modified xsi:type="dcterms:W3CDTF">2021-07-07T02:20:26Z</dcterms:modified>
  <cp:revision>455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