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湛江经济技术开发区食品药品监督管理局行政处罚信息公开表</w:t>
      </w:r>
    </w:p>
    <w:p/>
    <w:tbl>
      <w:tblPr>
        <w:tblStyle w:val="6"/>
        <w:tblW w:w="15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800"/>
        <w:gridCol w:w="1980"/>
        <w:gridCol w:w="1080"/>
        <w:gridCol w:w="970"/>
        <w:gridCol w:w="2090"/>
        <w:gridCol w:w="2340"/>
        <w:gridCol w:w="108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exact"/>
        </w:trPr>
        <w:tc>
          <w:tcPr>
            <w:tcW w:w="648" w:type="dxa"/>
            <w:vAlign w:val="center"/>
          </w:tcPr>
          <w:p>
            <w:pPr>
              <w:spacing w:line="500" w:lineRule="exact"/>
              <w:jc w:val="center"/>
              <w:rPr>
                <w:sz w:val="24"/>
              </w:rPr>
            </w:pPr>
            <w:r>
              <w:rPr>
                <w:rFonts w:hint="eastAsia"/>
                <w:sz w:val="24"/>
              </w:rPr>
              <w:t>序</w:t>
            </w:r>
          </w:p>
          <w:p>
            <w:pPr>
              <w:spacing w:line="500" w:lineRule="exact"/>
              <w:jc w:val="center"/>
              <w:rPr>
                <w:sz w:val="24"/>
              </w:rPr>
            </w:pPr>
            <w:r>
              <w:rPr>
                <w:rFonts w:hint="eastAsia"/>
                <w:sz w:val="24"/>
              </w:rPr>
              <w:t>号</w:t>
            </w:r>
          </w:p>
        </w:tc>
        <w:tc>
          <w:tcPr>
            <w:tcW w:w="1080" w:type="dxa"/>
            <w:vAlign w:val="center"/>
          </w:tcPr>
          <w:p>
            <w:pPr>
              <w:spacing w:line="500" w:lineRule="exact"/>
              <w:jc w:val="center"/>
              <w:rPr>
                <w:sz w:val="24"/>
              </w:rPr>
            </w:pPr>
            <w:r>
              <w:rPr>
                <w:rFonts w:hint="eastAsia"/>
                <w:sz w:val="24"/>
              </w:rPr>
              <w:t>行政处罚决定文号</w:t>
            </w:r>
          </w:p>
        </w:tc>
        <w:tc>
          <w:tcPr>
            <w:tcW w:w="1800" w:type="dxa"/>
            <w:vAlign w:val="center"/>
          </w:tcPr>
          <w:p>
            <w:pPr>
              <w:spacing w:line="500" w:lineRule="exact"/>
              <w:jc w:val="center"/>
              <w:rPr>
                <w:sz w:val="24"/>
              </w:rPr>
            </w:pPr>
            <w:r>
              <w:rPr>
                <w:rFonts w:hint="eastAsia"/>
                <w:sz w:val="24"/>
              </w:rPr>
              <w:t>案件</w:t>
            </w:r>
          </w:p>
          <w:p>
            <w:pPr>
              <w:spacing w:line="500" w:lineRule="exact"/>
              <w:jc w:val="center"/>
              <w:rPr>
                <w:sz w:val="24"/>
              </w:rPr>
            </w:pPr>
            <w:r>
              <w:rPr>
                <w:rFonts w:hint="eastAsia"/>
                <w:sz w:val="24"/>
              </w:rPr>
              <w:t>名称</w:t>
            </w:r>
          </w:p>
        </w:tc>
        <w:tc>
          <w:tcPr>
            <w:tcW w:w="1980" w:type="dxa"/>
            <w:vAlign w:val="center"/>
          </w:tcPr>
          <w:p>
            <w:pPr>
              <w:spacing w:line="500" w:lineRule="exact"/>
              <w:jc w:val="center"/>
              <w:rPr>
                <w:sz w:val="24"/>
              </w:rPr>
            </w:pPr>
            <w:r>
              <w:rPr>
                <w:rFonts w:hint="eastAsia"/>
                <w:sz w:val="24"/>
              </w:rPr>
              <w:t>违法企业名称或违法自然人姓名</w:t>
            </w:r>
          </w:p>
        </w:tc>
        <w:tc>
          <w:tcPr>
            <w:tcW w:w="1080" w:type="dxa"/>
            <w:vAlign w:val="center"/>
          </w:tcPr>
          <w:p>
            <w:pPr>
              <w:spacing w:line="500" w:lineRule="exact"/>
              <w:jc w:val="center"/>
              <w:rPr>
                <w:sz w:val="24"/>
              </w:rPr>
            </w:pPr>
            <w:r>
              <w:rPr>
                <w:rFonts w:hint="eastAsia"/>
                <w:sz w:val="24"/>
              </w:rPr>
              <w:t>违法企业营业执照注册号</w:t>
            </w:r>
          </w:p>
        </w:tc>
        <w:tc>
          <w:tcPr>
            <w:tcW w:w="970" w:type="dxa"/>
            <w:vAlign w:val="center"/>
          </w:tcPr>
          <w:p>
            <w:pPr>
              <w:spacing w:line="500" w:lineRule="exact"/>
              <w:jc w:val="center"/>
              <w:rPr>
                <w:sz w:val="24"/>
              </w:rPr>
            </w:pPr>
            <w:r>
              <w:rPr>
                <w:rFonts w:hint="eastAsia"/>
                <w:sz w:val="24"/>
              </w:rPr>
              <w:t>法定代表人姓名</w:t>
            </w:r>
          </w:p>
        </w:tc>
        <w:tc>
          <w:tcPr>
            <w:tcW w:w="2090" w:type="dxa"/>
            <w:vAlign w:val="center"/>
          </w:tcPr>
          <w:p>
            <w:pPr>
              <w:spacing w:line="500" w:lineRule="exact"/>
              <w:jc w:val="center"/>
              <w:rPr>
                <w:sz w:val="24"/>
              </w:rPr>
            </w:pPr>
            <w:r>
              <w:rPr>
                <w:rFonts w:hint="eastAsia"/>
                <w:sz w:val="24"/>
              </w:rPr>
              <w:t>主要违法事实</w:t>
            </w:r>
          </w:p>
        </w:tc>
        <w:tc>
          <w:tcPr>
            <w:tcW w:w="2340" w:type="dxa"/>
            <w:vAlign w:val="center"/>
          </w:tcPr>
          <w:p>
            <w:pPr>
              <w:spacing w:line="500" w:lineRule="exact"/>
              <w:jc w:val="center"/>
              <w:rPr>
                <w:sz w:val="24"/>
              </w:rPr>
            </w:pPr>
            <w:r>
              <w:rPr>
                <w:rFonts w:hint="eastAsia"/>
                <w:sz w:val="24"/>
              </w:rPr>
              <w:t>行政处罚的种类和依据</w:t>
            </w:r>
          </w:p>
        </w:tc>
        <w:tc>
          <w:tcPr>
            <w:tcW w:w="1080" w:type="dxa"/>
            <w:vAlign w:val="center"/>
          </w:tcPr>
          <w:p>
            <w:pPr>
              <w:spacing w:line="500" w:lineRule="exact"/>
              <w:jc w:val="center"/>
              <w:rPr>
                <w:sz w:val="24"/>
              </w:rPr>
            </w:pPr>
            <w:r>
              <w:rPr>
                <w:rFonts w:hint="eastAsia"/>
                <w:sz w:val="24"/>
              </w:rPr>
              <w:t>行政处罚的履行方式和期限</w:t>
            </w:r>
          </w:p>
        </w:tc>
        <w:tc>
          <w:tcPr>
            <w:tcW w:w="1260" w:type="dxa"/>
            <w:vAlign w:val="center"/>
          </w:tcPr>
          <w:p>
            <w:pPr>
              <w:spacing w:line="500" w:lineRule="exact"/>
              <w:jc w:val="center"/>
              <w:rPr>
                <w:sz w:val="24"/>
              </w:rPr>
            </w:pPr>
            <w:r>
              <w:rPr>
                <w:rFonts w:hint="eastAsia"/>
                <w:sz w:val="24"/>
              </w:rPr>
              <w:t>作出处罚的机关名称和日期</w:t>
            </w:r>
          </w:p>
        </w:tc>
        <w:tc>
          <w:tcPr>
            <w:tcW w:w="900" w:type="dxa"/>
            <w:vAlign w:val="center"/>
          </w:tcPr>
          <w:p>
            <w:pPr>
              <w:spacing w:line="500" w:lineRule="exact"/>
              <w:jc w:val="center"/>
              <w:rPr>
                <w:sz w:val="24"/>
              </w:rPr>
            </w:pPr>
            <w:r>
              <w:rPr>
                <w:rFonts w:hint="eastAsia"/>
                <w:sz w:val="24"/>
              </w:rPr>
              <w:t>备</w:t>
            </w:r>
          </w:p>
          <w:p>
            <w:pPr>
              <w:spacing w:line="500" w:lineRule="exact"/>
              <w:jc w:val="center"/>
              <w:rPr>
                <w:sz w:val="24"/>
              </w:rPr>
            </w:pPr>
            <w:r>
              <w:rPr>
                <w:rFonts w:hint="eastAsia"/>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5" w:hRule="exact"/>
        </w:trPr>
        <w:tc>
          <w:tcPr>
            <w:tcW w:w="648" w:type="dxa"/>
            <w:vAlign w:val="center"/>
          </w:tcPr>
          <w:p>
            <w:pPr>
              <w:jc w:val="center"/>
              <w:rPr>
                <w:rFonts w:hint="eastAsia" w:eastAsia="宋体"/>
                <w:sz w:val="24"/>
                <w:lang w:eastAsia="zh-CN"/>
              </w:rPr>
            </w:pPr>
            <w:r>
              <w:rPr>
                <w:rFonts w:hint="eastAsia"/>
                <w:sz w:val="24"/>
              </w:rPr>
              <w:t>1</w:t>
            </w:r>
          </w:p>
        </w:tc>
        <w:tc>
          <w:tcPr>
            <w:tcW w:w="1080" w:type="dxa"/>
            <w:vAlign w:val="center"/>
          </w:tcPr>
          <w:p>
            <w:pPr>
              <w:rPr>
                <w:sz w:val="24"/>
              </w:rPr>
            </w:pPr>
            <w:r>
              <w:rPr>
                <w:rFonts w:hint="eastAsia"/>
                <w:sz w:val="24"/>
              </w:rPr>
              <w:t>（湛开）食药监食罚〔201</w:t>
            </w:r>
            <w:r>
              <w:rPr>
                <w:rFonts w:hint="eastAsia"/>
                <w:sz w:val="24"/>
                <w:lang w:val="en-US" w:eastAsia="zh-CN"/>
              </w:rPr>
              <w:t>7</w:t>
            </w:r>
            <w:r>
              <w:rPr>
                <w:rFonts w:hint="eastAsia"/>
                <w:sz w:val="24"/>
              </w:rPr>
              <w:t>〕</w:t>
            </w:r>
            <w:r>
              <w:rPr>
                <w:rFonts w:hint="eastAsia"/>
                <w:sz w:val="24"/>
                <w:lang w:val="en-US" w:eastAsia="zh-CN"/>
              </w:rPr>
              <w:t>41</w:t>
            </w:r>
            <w:r>
              <w:rPr>
                <w:rFonts w:hint="eastAsia"/>
                <w:sz w:val="24"/>
              </w:rPr>
              <w:t>号</w:t>
            </w:r>
          </w:p>
        </w:tc>
        <w:tc>
          <w:tcPr>
            <w:tcW w:w="1800" w:type="dxa"/>
            <w:vAlign w:val="center"/>
          </w:tcPr>
          <w:p>
            <w:pPr>
              <w:rPr>
                <w:sz w:val="24"/>
              </w:rPr>
            </w:pPr>
            <w:r>
              <w:rPr>
                <w:rFonts w:hint="eastAsia"/>
                <w:sz w:val="24"/>
                <w:lang w:eastAsia="zh-CN"/>
              </w:rPr>
              <w:t>湛江市东海岛东简镇叶那保花生油加工厂生产加工不符合食品安全标准的土榨花生油</w:t>
            </w:r>
            <w:r>
              <w:rPr>
                <w:rFonts w:hint="eastAsia"/>
                <w:sz w:val="24"/>
              </w:rPr>
              <w:t>案</w:t>
            </w:r>
          </w:p>
        </w:tc>
        <w:tc>
          <w:tcPr>
            <w:tcW w:w="1980" w:type="dxa"/>
            <w:vAlign w:val="center"/>
          </w:tcPr>
          <w:p>
            <w:pPr>
              <w:rPr>
                <w:sz w:val="24"/>
              </w:rPr>
            </w:pPr>
          </w:p>
          <w:p>
            <w:pPr>
              <w:jc w:val="center"/>
              <w:rPr>
                <w:rFonts w:hint="eastAsia" w:eastAsia="宋体"/>
                <w:sz w:val="24"/>
                <w:lang w:eastAsia="zh-CN"/>
              </w:rPr>
            </w:pPr>
            <w:r>
              <w:rPr>
                <w:rFonts w:hint="eastAsia"/>
                <w:sz w:val="24"/>
                <w:lang w:eastAsia="zh-CN"/>
              </w:rPr>
              <w:t>叶那保</w:t>
            </w:r>
          </w:p>
          <w:p>
            <w:pPr>
              <w:jc w:val="center"/>
              <w:rPr>
                <w:sz w:val="24"/>
              </w:rPr>
            </w:pPr>
          </w:p>
        </w:tc>
        <w:tc>
          <w:tcPr>
            <w:tcW w:w="1080" w:type="dxa"/>
            <w:vAlign w:val="center"/>
          </w:tcPr>
          <w:p>
            <w:pPr>
              <w:rPr>
                <w:sz w:val="24"/>
              </w:rPr>
            </w:pPr>
          </w:p>
          <w:p>
            <w:pPr>
              <w:jc w:val="center"/>
              <w:rPr>
                <w:rFonts w:hint="eastAsia" w:eastAsia="宋体"/>
                <w:sz w:val="24"/>
                <w:lang w:val="en-US" w:eastAsia="zh-CN"/>
              </w:rPr>
            </w:pPr>
            <w:r>
              <w:rPr>
                <w:rFonts w:hint="eastAsia"/>
                <w:sz w:val="24"/>
              </w:rPr>
              <w:t>92440800MA</w:t>
            </w:r>
            <w:r>
              <w:rPr>
                <w:rFonts w:hint="eastAsia"/>
                <w:sz w:val="24"/>
                <w:lang w:val="en-US" w:eastAsia="zh-CN"/>
              </w:rPr>
              <w:t>4WHF269N</w:t>
            </w:r>
          </w:p>
        </w:tc>
        <w:tc>
          <w:tcPr>
            <w:tcW w:w="970" w:type="dxa"/>
            <w:vAlign w:val="center"/>
          </w:tcPr>
          <w:p>
            <w:pPr>
              <w:rPr>
                <w:sz w:val="24"/>
              </w:rPr>
            </w:pPr>
          </w:p>
          <w:p>
            <w:pPr>
              <w:jc w:val="center"/>
              <w:rPr>
                <w:rFonts w:hint="eastAsia" w:eastAsia="宋体"/>
                <w:sz w:val="24"/>
                <w:lang w:val="en-US" w:eastAsia="zh-CN"/>
              </w:rPr>
            </w:pPr>
            <w:r>
              <w:rPr>
                <w:rFonts w:hint="eastAsia"/>
                <w:sz w:val="24"/>
                <w:lang w:eastAsia="zh-CN"/>
              </w:rPr>
              <w:t>叶那保</w:t>
            </w:r>
          </w:p>
          <w:p>
            <w:pPr>
              <w:jc w:val="center"/>
              <w:rPr>
                <w:sz w:val="24"/>
              </w:rPr>
            </w:pPr>
          </w:p>
        </w:tc>
        <w:tc>
          <w:tcPr>
            <w:tcW w:w="2090" w:type="dxa"/>
            <w:vAlign w:val="center"/>
          </w:tcPr>
          <w:p>
            <w:pPr>
              <w:rPr>
                <w:rFonts w:hint="eastAsia" w:eastAsia="宋体"/>
                <w:sz w:val="24"/>
                <w:lang w:eastAsia="zh-CN"/>
              </w:rPr>
            </w:pPr>
            <w:r>
              <w:rPr>
                <w:rFonts w:hint="eastAsia"/>
                <w:sz w:val="24"/>
              </w:rPr>
              <w:t>经查，当事人</w:t>
            </w:r>
            <w:r>
              <w:rPr>
                <w:rFonts w:hint="eastAsia"/>
                <w:sz w:val="24"/>
                <w:lang w:eastAsia="zh-CN"/>
              </w:rPr>
              <w:t>生产加工的花生油经检验不符合食品安全标准，当事人的违法行为未造成严重后果且能主动及时消除、减轻违法行为危害后果，符合法定的减轻情节。</w:t>
            </w:r>
          </w:p>
        </w:tc>
        <w:tc>
          <w:tcPr>
            <w:tcW w:w="2340" w:type="dxa"/>
            <w:vAlign w:val="center"/>
          </w:tcPr>
          <w:p>
            <w:pPr>
              <w:rPr>
                <w:rFonts w:hint="eastAsia"/>
                <w:sz w:val="24"/>
              </w:rPr>
            </w:pPr>
            <w:r>
              <w:rPr>
                <w:rFonts w:hint="eastAsia"/>
                <w:sz w:val="24"/>
              </w:rPr>
              <w:t>依据《</w:t>
            </w:r>
            <w:r>
              <w:rPr>
                <w:rFonts w:hint="eastAsia"/>
                <w:sz w:val="24"/>
                <w:lang w:eastAsia="zh-CN"/>
              </w:rPr>
              <w:t>广东省食品生产加工小作坊和食品摊贩管理条例</w:t>
            </w:r>
            <w:r>
              <w:rPr>
                <w:rFonts w:hint="eastAsia"/>
                <w:sz w:val="24"/>
              </w:rPr>
              <w:t>》第</w:t>
            </w:r>
            <w:r>
              <w:rPr>
                <w:rFonts w:hint="eastAsia"/>
                <w:sz w:val="24"/>
                <w:lang w:eastAsia="zh-CN"/>
              </w:rPr>
              <w:t>五十第一款</w:t>
            </w:r>
            <w:r>
              <w:rPr>
                <w:rFonts w:hint="eastAsia"/>
                <w:sz w:val="24"/>
              </w:rPr>
              <w:t>的规定　处罚以下：1.没收</w:t>
            </w:r>
            <w:r>
              <w:rPr>
                <w:rFonts w:hint="eastAsia"/>
                <w:sz w:val="24"/>
                <w:lang w:eastAsia="zh-CN"/>
              </w:rPr>
              <w:t>违法所得</w:t>
            </w:r>
            <w:r>
              <w:rPr>
                <w:rFonts w:hint="eastAsia"/>
                <w:sz w:val="24"/>
                <w:lang w:val="en-US" w:eastAsia="zh-CN"/>
              </w:rPr>
              <w:t>26元</w:t>
            </w:r>
            <w:r>
              <w:rPr>
                <w:rFonts w:hint="eastAsia"/>
                <w:sz w:val="24"/>
              </w:rPr>
              <w:t>；</w:t>
            </w:r>
          </w:p>
          <w:p>
            <w:pPr>
              <w:rPr>
                <w:sz w:val="24"/>
              </w:rPr>
            </w:pPr>
            <w:r>
              <w:rPr>
                <w:rFonts w:hint="eastAsia"/>
                <w:sz w:val="24"/>
              </w:rPr>
              <w:t>2.罚款</w:t>
            </w:r>
            <w:r>
              <w:rPr>
                <w:rFonts w:hint="eastAsia"/>
                <w:sz w:val="24"/>
                <w:lang w:val="en-US" w:eastAsia="zh-CN"/>
              </w:rPr>
              <w:t>3</w:t>
            </w:r>
            <w:r>
              <w:rPr>
                <w:rFonts w:hint="eastAsia"/>
                <w:sz w:val="24"/>
              </w:rPr>
              <w:t>000元。</w:t>
            </w:r>
          </w:p>
        </w:tc>
        <w:tc>
          <w:tcPr>
            <w:tcW w:w="1080" w:type="dxa"/>
            <w:vAlign w:val="center"/>
          </w:tcPr>
          <w:p>
            <w:pPr>
              <w:rPr>
                <w:sz w:val="24"/>
              </w:rPr>
            </w:pPr>
            <w:r>
              <w:rPr>
                <w:rFonts w:hint="eastAsia"/>
                <w:sz w:val="24"/>
              </w:rPr>
              <w:t>限当事人自收到本决定书之日起十五日内携带《罚款通知书》到相关银行（详见罚款通知书）缴纳罚款。到期不缴纳罚款的，本局可以每日按罚款数额的3%加处罚款。</w:t>
            </w:r>
          </w:p>
        </w:tc>
        <w:tc>
          <w:tcPr>
            <w:tcW w:w="1260" w:type="dxa"/>
            <w:vAlign w:val="center"/>
          </w:tcPr>
          <w:p>
            <w:pPr>
              <w:tabs>
                <w:tab w:val="left" w:pos="465"/>
              </w:tabs>
              <w:jc w:val="center"/>
              <w:rPr>
                <w:sz w:val="24"/>
              </w:rPr>
            </w:pPr>
            <w:r>
              <w:rPr>
                <w:rFonts w:hint="eastAsia"/>
                <w:sz w:val="24"/>
              </w:rPr>
              <w:t>湛江经济技术开发区食品药品监</w:t>
            </w:r>
            <w:bookmarkStart w:id="0" w:name="_GoBack"/>
            <w:bookmarkEnd w:id="0"/>
            <w:r>
              <w:rPr>
                <w:rFonts w:hint="eastAsia"/>
                <w:sz w:val="24"/>
              </w:rPr>
              <w:t>督管理局201</w:t>
            </w:r>
            <w:r>
              <w:rPr>
                <w:rFonts w:hint="eastAsia"/>
                <w:sz w:val="24"/>
                <w:lang w:val="en-US" w:eastAsia="zh-CN"/>
              </w:rPr>
              <w:t>7</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21</w:t>
            </w:r>
            <w:r>
              <w:rPr>
                <w:rFonts w:hint="eastAsia"/>
                <w:sz w:val="24"/>
              </w:rPr>
              <w:t>日</w:t>
            </w:r>
          </w:p>
        </w:tc>
        <w:tc>
          <w:tcPr>
            <w:tcW w:w="900" w:type="dxa"/>
            <w:vAlign w:val="center"/>
          </w:tcPr>
          <w:p>
            <w:pPr>
              <w:rPr>
                <w:sz w:val="24"/>
              </w:rPr>
            </w:pPr>
            <w:r>
              <w:rPr>
                <w:rFonts w:hint="eastAsia"/>
                <w:sz w:val="24"/>
              </w:rPr>
              <w:t>无</w:t>
            </w:r>
          </w:p>
        </w:tc>
      </w:tr>
    </w:tbl>
    <w:p>
      <w:pPr>
        <w:rPr>
          <w:sz w:val="28"/>
          <w:szCs w:val="28"/>
        </w:rPr>
      </w:pPr>
    </w:p>
    <w:sectPr>
      <w:headerReference r:id="rId3" w:type="default"/>
      <w:pgSz w:w="16838" w:h="11906" w:orient="landscape"/>
      <w:pgMar w:top="1304" w:right="1134" w:bottom="130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115C"/>
    <w:rsid w:val="00172A27"/>
    <w:rsid w:val="00282761"/>
    <w:rsid w:val="0036773B"/>
    <w:rsid w:val="003A49AA"/>
    <w:rsid w:val="003D1CCA"/>
    <w:rsid w:val="00440207"/>
    <w:rsid w:val="0047053E"/>
    <w:rsid w:val="0047186B"/>
    <w:rsid w:val="004C7405"/>
    <w:rsid w:val="00597CCB"/>
    <w:rsid w:val="005D25C8"/>
    <w:rsid w:val="006116E4"/>
    <w:rsid w:val="0061238C"/>
    <w:rsid w:val="007D2DAF"/>
    <w:rsid w:val="00941090"/>
    <w:rsid w:val="00971D71"/>
    <w:rsid w:val="00983599"/>
    <w:rsid w:val="009D5DFA"/>
    <w:rsid w:val="009E54C8"/>
    <w:rsid w:val="00B65CDB"/>
    <w:rsid w:val="00CC610B"/>
    <w:rsid w:val="00CE0567"/>
    <w:rsid w:val="00D63476"/>
    <w:rsid w:val="00D64145"/>
    <w:rsid w:val="00DB7556"/>
    <w:rsid w:val="00DC1C10"/>
    <w:rsid w:val="00DE05A8"/>
    <w:rsid w:val="00E34024"/>
    <w:rsid w:val="00E87E9E"/>
    <w:rsid w:val="00ED51E4"/>
    <w:rsid w:val="00F328E2"/>
    <w:rsid w:val="00F53826"/>
    <w:rsid w:val="00FD5168"/>
    <w:rsid w:val="02F516EA"/>
    <w:rsid w:val="0CC14613"/>
    <w:rsid w:val="150B0684"/>
    <w:rsid w:val="22E152C9"/>
    <w:rsid w:val="26847B6C"/>
    <w:rsid w:val="3F3B7932"/>
    <w:rsid w:val="406E0FA8"/>
    <w:rsid w:val="4C670469"/>
    <w:rsid w:val="4D865A76"/>
    <w:rsid w:val="5C6B03C9"/>
    <w:rsid w:val="5D162FBF"/>
    <w:rsid w:val="5D925EBA"/>
    <w:rsid w:val="611155D5"/>
    <w:rsid w:val="641E1632"/>
    <w:rsid w:val="6AAE05E6"/>
    <w:rsid w:val="752B6614"/>
    <w:rsid w:val="790C33A8"/>
    <w:rsid w:val="7E8C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245</Words>
  <Characters>79</Characters>
  <Lines>1</Lines>
  <Paragraphs>1</Paragraphs>
  <TotalTime>7</TotalTime>
  <ScaleCrop>false</ScaleCrop>
  <LinksUpToDate>false</LinksUpToDate>
  <CharactersWithSpaces>323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2017-05-02T01:23:00Z</dcterms:created>
  <dc:creator>微软用户</dc:creator>
  <cp:lastModifiedBy>Administrator</cp:lastModifiedBy>
  <cp:lastPrinted>2018-05-15T03:05:00Z</cp:lastPrinted>
  <dcterms:modified xsi:type="dcterms:W3CDTF">2018-09-28T07:09:29Z</dcterms:modified>
  <dc:title>行政处罚信息公开表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