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333343" w:sz="12" w:space="0"/>
          <w:right w:val="none" w:color="auto" w:sz="0" w:space="0"/>
        </w:pBdr>
        <w:shd w:val="clear" w:color="auto" w:fill="EEEEEE"/>
        <w:spacing w:before="0" w:beforeAutospacing="0" w:after="0" w:afterAutospacing="0" w:line="375" w:lineRule="atLeast"/>
        <w:ind w:left="0" w:right="0" w:firstLine="0"/>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kern w:val="0"/>
          <w:sz w:val="19"/>
          <w:szCs w:val="19"/>
          <w:shd w:val="clear" w:color="auto" w:fill="EEEEEE"/>
          <w:lang w:val="en-US" w:eastAsia="zh-CN" w:bidi="ar"/>
        </w:rPr>
        <w:t>广东省行政许可事项标准 (事项编码: )</w:t>
      </w:r>
    </w:p>
    <w:p>
      <w:pPr>
        <w:pStyle w:val="2"/>
        <w:keepNext w:val="0"/>
        <w:keepLines w:val="0"/>
        <w:widowControl/>
        <w:suppressLineNumbers w:val="0"/>
        <w:spacing w:before="0" w:beforeAutospacing="0" w:after="0" w:afterAutospacing="0" w:line="600" w:lineRule="atLeast"/>
        <w:ind w:left="300" w:right="0"/>
        <w:jc w:val="left"/>
        <w:rPr>
          <w:rFonts w:hint="eastAsia" w:ascii="宋体" w:hAnsi="宋体" w:eastAsia="宋体" w:cs="宋体"/>
          <w:i w:val="0"/>
          <w:caps w:val="0"/>
          <w:color w:val="000000"/>
          <w:spacing w:val="0"/>
          <w:sz w:val="44"/>
          <w:szCs w:val="44"/>
        </w:rPr>
      </w:pPr>
      <w:r>
        <w:rPr>
          <w:color w:val="000000" w:themeColor="text1"/>
          <w:sz w:val="44"/>
          <w:szCs w:val="44"/>
          <w:shd w:val="clear" w:fill="FEFEFE"/>
          <w14:textFill>
            <w14:solidFill>
              <w14:schemeClr w14:val="tx1"/>
            </w14:solidFill>
          </w14:textFill>
        </w:rPr>
        <w:t>药品零售企业《药品经营质量管理规范认证证书》</w:t>
      </w:r>
      <w:r>
        <w:rPr>
          <w:rFonts w:hint="eastAsia"/>
          <w:color w:val="000000" w:themeColor="text1"/>
          <w:sz w:val="44"/>
          <w:szCs w:val="44"/>
          <w:shd w:val="clear" w:fill="FEFEFE"/>
          <w:lang w:eastAsia="zh-CN"/>
          <w14:textFill>
            <w14:solidFill>
              <w14:schemeClr w14:val="tx1"/>
            </w14:solidFill>
          </w14:textFill>
        </w:rPr>
        <w:t>变更</w:t>
      </w:r>
      <w:r>
        <w:rPr>
          <w:rFonts w:hint="eastAsia" w:ascii="宋体" w:hAnsi="宋体" w:eastAsia="宋体" w:cs="宋体"/>
          <w:i w:val="0"/>
          <w:caps w:val="0"/>
          <w:color w:val="000000"/>
          <w:spacing w:val="0"/>
          <w:sz w:val="44"/>
          <w:szCs w:val="44"/>
        </w:rPr>
        <w:t>办事指南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rPr>
          <w:rFonts w:ascii="黑体" w:eastAsia="黑体" w:cs="黑体"/>
          <w:b w:val="0"/>
          <w:i w:val="0"/>
          <w:caps w:val="0"/>
          <w:color w:val="000000"/>
          <w:spacing w:val="0"/>
          <w:sz w:val="21"/>
          <w:szCs w:val="21"/>
        </w:rPr>
      </w:pPr>
      <w:r>
        <w:rPr>
          <w:rFonts w:hint="eastAsia" w:ascii="黑体" w:hAnsi="宋体" w:eastAsia="黑体" w:cs="黑体"/>
          <w:b w:val="0"/>
          <w:i w:val="0"/>
          <w:caps w:val="0"/>
          <w:color w:val="000000"/>
          <w:spacing w:val="0"/>
          <w:kern w:val="0"/>
          <w:sz w:val="21"/>
          <w:szCs w:val="21"/>
          <w:lang w:val="en-US" w:eastAsia="zh-CN" w:bidi="ar"/>
        </w:rPr>
        <w:t>开发区食品药品监督管理局      2016－1－30 发布      2016－1－30 实施</w:t>
      </w:r>
    </w:p>
    <w:p>
      <w:pPr>
        <w:keepNext w:val="0"/>
        <w:keepLines w:val="0"/>
        <w:widowControl/>
        <w:suppressLineNumbers w:val="0"/>
        <w:pBdr>
          <w:top w:val="none" w:color="auto" w:sz="0" w:space="0"/>
          <w:left w:val="none" w:color="auto" w:sz="0" w:space="0"/>
          <w:bottom w:val="single" w:color="800008" w:sz="12" w:space="0"/>
          <w:right w:val="none" w:color="auto" w:sz="0" w:space="0"/>
        </w:pBdr>
        <w:spacing w:before="0" w:beforeAutospacing="0" w:after="300" w:afterAutospacing="0" w:line="450" w:lineRule="atLeast"/>
        <w:ind w:left="0" w:right="0" w:firstLine="0"/>
        <w:rPr>
          <w:rFonts w:hint="eastAsia" w:ascii="宋体" w:hAnsi="宋体" w:eastAsia="宋体" w:cs="宋体"/>
          <w:b w:val="0"/>
          <w:i w:val="0"/>
          <w:caps w:val="0"/>
          <w:color w:val="000000"/>
          <w:spacing w:val="0"/>
          <w:sz w:val="24"/>
          <w:szCs w:val="24"/>
        </w:rPr>
      </w:pPr>
      <w:r>
        <w:rPr>
          <w:rFonts w:ascii="黑体" w:eastAsia="黑体" w:cs="黑体"/>
          <w:b w:val="0"/>
          <w:i w:val="0"/>
          <w:caps w:val="0"/>
          <w:color w:val="000000"/>
          <w:spacing w:val="0"/>
          <w:sz w:val="21"/>
          <w:szCs w:val="21"/>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bookmarkStart w:id="0" w:name="_GoBack"/>
      <w:bookmarkEnd w:id="0"/>
      <w:r>
        <w:rPr>
          <w:rFonts w:hint="eastAsia" w:ascii="宋体" w:hAnsi="宋体" w:eastAsia="宋体" w:cs="宋体"/>
          <w:color w:val="008000"/>
          <w:sz w:val="27"/>
          <w:szCs w:val="27"/>
          <w:shd w:val="clear" w:fill="F5F5FE"/>
        </w:rPr>
        <w:t xml:space="preserve">办理对象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企业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办理条件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（1）取得《药品经营质量管理规范》认证证书的企业。</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（2）应当与《药品经营许可证》相应变更项目申请材料同时提交﹝各县（市）的药品零售企业应先办理《药品经营许可证》的变更﹞。</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 xml:space="preserve">（3）企业经过内部评审、变更登记项目基本符合GSP及其实施细则规定的条件要求。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所需材料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（1）《药品经营质量管理规范》认证证书变更申请表；</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（2）企业实施GSP情况的自查报告；</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 xml:space="preserve">（3）《药品经营质量管理规范认证证书》原件、复印件和《药品经营许可证》正本复印件。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窗口办理流程 </w:t>
      </w:r>
      <w:r>
        <w:rPr>
          <w:rFonts w:hint="eastAsia" w:ascii="宋体" w:hAnsi="宋体" w:eastAsia="宋体" w:cs="宋体"/>
          <w:color w:val="6688CC"/>
          <w:sz w:val="27"/>
          <w:szCs w:val="27"/>
          <w:u w:val="none"/>
          <w:shd w:val="clear" w:fill="F5F5FE"/>
        </w:rPr>
        <w:fldChar w:fldCharType="begin"/>
      </w:r>
      <w:r>
        <w:rPr>
          <w:rFonts w:hint="eastAsia" w:ascii="宋体" w:hAnsi="宋体" w:eastAsia="宋体" w:cs="宋体"/>
          <w:color w:val="6688CC"/>
          <w:sz w:val="27"/>
          <w:szCs w:val="27"/>
          <w:u w:val="none"/>
          <w:shd w:val="clear" w:fill="F5F5FE"/>
        </w:rPr>
        <w:instrText xml:space="preserve"> HYPERLINK "http://www.zjwsbs.gov.cn/wsdt/A6F9D13E04E54C209EF0AB9E4EC2E92F/A6F9D13E04E54C209EF0AB9E4EC2E92F/35a8629e8c7c4edba7e64ecdee41d4c7.jpg" \t "http://www.zjwsbs.gov.cn/portal/blank" </w:instrText>
      </w:r>
      <w:r>
        <w:rPr>
          <w:rFonts w:hint="eastAsia" w:ascii="宋体" w:hAnsi="宋体" w:eastAsia="宋体" w:cs="宋体"/>
          <w:color w:val="6688CC"/>
          <w:sz w:val="27"/>
          <w:szCs w:val="27"/>
          <w:u w:val="none"/>
          <w:shd w:val="clear" w:fill="F5F5FE"/>
        </w:rPr>
        <w:fldChar w:fldCharType="separate"/>
      </w:r>
      <w:r>
        <w:rPr>
          <w:rStyle w:val="8"/>
          <w:rFonts w:hint="eastAsia" w:ascii="宋体" w:hAnsi="宋体" w:eastAsia="宋体" w:cs="宋体"/>
          <w:color w:val="6688CC"/>
          <w:sz w:val="27"/>
          <w:szCs w:val="27"/>
          <w:u w:val="none"/>
          <w:shd w:val="clear" w:fill="F5F5FE"/>
        </w:rPr>
        <w:fldChar w:fldCharType="begin"/>
      </w:r>
      <w:r>
        <w:rPr>
          <w:rStyle w:val="8"/>
          <w:rFonts w:hint="eastAsia" w:ascii="宋体" w:hAnsi="宋体" w:eastAsia="宋体" w:cs="宋体"/>
          <w:color w:val="6688CC"/>
          <w:sz w:val="27"/>
          <w:szCs w:val="27"/>
          <w:u w:val="none"/>
          <w:shd w:val="clear" w:fill="F5F5FE"/>
        </w:rPr>
        <w:instrText xml:space="preserve">INCLUDEPICTURE \d "http://www.zjwsbs.gov.cn/portal/view/common/images/lct.png" \* MERGEFORMATINET </w:instrText>
      </w:r>
      <w:r>
        <w:rPr>
          <w:rStyle w:val="8"/>
          <w:rFonts w:hint="eastAsia" w:ascii="宋体" w:hAnsi="宋体" w:eastAsia="宋体" w:cs="宋体"/>
          <w:color w:val="6688CC"/>
          <w:sz w:val="27"/>
          <w:szCs w:val="27"/>
          <w:u w:val="none"/>
          <w:shd w:val="clear" w:fill="F5F5FE"/>
        </w:rPr>
        <w:fldChar w:fldCharType="separate"/>
      </w:r>
      <w:r>
        <w:rPr>
          <w:rStyle w:val="8"/>
          <w:rFonts w:hint="eastAsia" w:ascii="宋体" w:hAnsi="宋体" w:eastAsia="宋体" w:cs="宋体"/>
          <w:color w:val="6688CC"/>
          <w:sz w:val="27"/>
          <w:szCs w:val="27"/>
          <w:u w:val="none"/>
          <w:shd w:val="clear" w:fill="F5F5FE"/>
        </w:rPr>
        <w:drawing>
          <wp:inline distT="0" distB="0" distL="114300" distR="114300">
            <wp:extent cx="990600" cy="1905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90600" cy="190500"/>
                    </a:xfrm>
                    <a:prstGeom prst="rect">
                      <a:avLst/>
                    </a:prstGeom>
                    <a:noFill/>
                    <a:ln w="9525">
                      <a:noFill/>
                    </a:ln>
                  </pic:spPr>
                </pic:pic>
              </a:graphicData>
            </a:graphic>
          </wp:inline>
        </w:drawing>
      </w:r>
      <w:r>
        <w:rPr>
          <w:rStyle w:val="8"/>
          <w:rFonts w:hint="eastAsia" w:ascii="宋体" w:hAnsi="宋体" w:eastAsia="宋体" w:cs="宋体"/>
          <w:color w:val="6688CC"/>
          <w:sz w:val="27"/>
          <w:szCs w:val="27"/>
          <w:u w:val="none"/>
          <w:shd w:val="clear" w:fill="F5F5FE"/>
        </w:rPr>
        <w:fldChar w:fldCharType="end"/>
      </w:r>
      <w:r>
        <w:rPr>
          <w:rFonts w:hint="eastAsia" w:ascii="宋体" w:hAnsi="宋体" w:eastAsia="宋体" w:cs="宋体"/>
          <w:color w:val="6688CC"/>
          <w:sz w:val="27"/>
          <w:szCs w:val="27"/>
          <w:u w:val="none"/>
          <w:shd w:val="clear" w:fill="F5F5FE"/>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申办：申请人在实体大厅申请并递交材料</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受理：</w:t>
      </w: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食品药品监管局窗口审查资料，对资料齐全并符合受理条件的进行受理</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办理：业务科室和分管领导在承诺时间内进行资料及现场审查、审批</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办结：申请人到</w:t>
      </w: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 xml:space="preserve">食品药品监管局窗口领取相关证件或文件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办理时限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法定时限说明： 三个月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承诺时限说明： 三个月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办事窗口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湛江经济技术开发区行政服务中心食品药品监督管理局窗口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窗口地址：湛江经济技术开发区人民大道中42号泰华大厦一楼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窗口电话：0759-2929010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sz w:val="21"/>
          <w:szCs w:val="21"/>
          <w:shd w:val="clear" w:fill="F5F5FE"/>
        </w:rPr>
      </w:pPr>
      <w:r>
        <w:rPr>
          <w:rFonts w:hint="eastAsia"/>
          <w:sz w:val="21"/>
          <w:szCs w:val="21"/>
          <w:shd w:val="clear" w:fill="F5F5FE"/>
          <w:lang w:eastAsia="zh-CN"/>
        </w:rPr>
        <w:t>工作时间：</w:t>
      </w:r>
      <w:r>
        <w:rPr>
          <w:sz w:val="21"/>
          <w:szCs w:val="21"/>
          <w:shd w:val="clear" w:fill="F5F5FE"/>
        </w:rPr>
        <w:t>周一至周五上午8:</w:t>
      </w:r>
      <w:r>
        <w:rPr>
          <w:rFonts w:hint="eastAsia"/>
          <w:sz w:val="21"/>
          <w:szCs w:val="21"/>
          <w:shd w:val="clear" w:fill="F5F5FE"/>
          <w:lang w:val="en-US" w:eastAsia="zh-CN"/>
        </w:rPr>
        <w:t>30</w:t>
      </w:r>
      <w:r>
        <w:rPr>
          <w:sz w:val="21"/>
          <w:szCs w:val="21"/>
          <w:shd w:val="clear" w:fill="F5F5FE"/>
        </w:rPr>
        <w:t>至1</w:t>
      </w:r>
      <w:r>
        <w:rPr>
          <w:rFonts w:hint="eastAsia"/>
          <w:sz w:val="21"/>
          <w:szCs w:val="21"/>
          <w:shd w:val="clear" w:fill="F5F5FE"/>
          <w:lang w:val="en-US" w:eastAsia="zh-CN"/>
        </w:rPr>
        <w:t>2</w:t>
      </w:r>
      <w:r>
        <w:rPr>
          <w:sz w:val="21"/>
          <w:szCs w:val="21"/>
          <w:shd w:val="clear" w:fill="F5F5FE"/>
        </w:rPr>
        <w:t>:</w:t>
      </w:r>
      <w:r>
        <w:rPr>
          <w:rFonts w:hint="eastAsia"/>
          <w:sz w:val="21"/>
          <w:szCs w:val="21"/>
          <w:shd w:val="clear" w:fill="F5F5FE"/>
          <w:lang w:val="en-US" w:eastAsia="zh-CN"/>
        </w:rPr>
        <w:t>00</w:t>
      </w:r>
      <w:r>
        <w:rPr>
          <w:sz w:val="21"/>
          <w:szCs w:val="21"/>
          <w:shd w:val="clear" w:fill="F5F5FE"/>
        </w:rPr>
        <w:t>下午14:</w:t>
      </w:r>
      <w:r>
        <w:rPr>
          <w:rFonts w:hint="eastAsia"/>
          <w:sz w:val="21"/>
          <w:szCs w:val="21"/>
          <w:shd w:val="clear" w:fill="F5F5FE"/>
          <w:lang w:val="en-US" w:eastAsia="zh-CN"/>
        </w:rPr>
        <w:t>3</w:t>
      </w:r>
      <w:r>
        <w:rPr>
          <w:sz w:val="21"/>
          <w:szCs w:val="21"/>
          <w:shd w:val="clear" w:fill="F5F5FE"/>
        </w:rPr>
        <w:t>0至1</w:t>
      </w:r>
      <w:r>
        <w:rPr>
          <w:rFonts w:hint="eastAsia"/>
          <w:sz w:val="21"/>
          <w:szCs w:val="21"/>
          <w:shd w:val="clear" w:fill="F5F5FE"/>
          <w:lang w:val="en-US" w:eastAsia="zh-CN"/>
        </w:rPr>
        <w:t>8</w:t>
      </w:r>
      <w:r>
        <w:rPr>
          <w:sz w:val="21"/>
          <w:szCs w:val="21"/>
          <w:shd w:val="clear" w:fill="F5F5FE"/>
        </w:rPr>
        <w:t>:</w:t>
      </w:r>
      <w:r>
        <w:rPr>
          <w:rFonts w:hint="eastAsia"/>
          <w:sz w:val="21"/>
          <w:szCs w:val="21"/>
          <w:shd w:val="clear" w:fill="F5F5FE"/>
          <w:lang w:val="en-US" w:eastAsia="zh-CN"/>
        </w:rPr>
        <w:t>00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rightChars="0"/>
        <w:rPr>
          <w:rFonts w:hint="eastAsia" w:ascii="宋体" w:hAnsi="宋体" w:eastAsia="宋体" w:cs="宋体"/>
          <w:b/>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b/>
          <w:bCs/>
          <w:color w:val="70AD47" w:themeColor="accent6"/>
          <w14:textFill>
            <w14:solidFill>
              <w14:schemeClr w14:val="accent6"/>
            </w14:solidFill>
          </w14:textFill>
        </w:rPr>
      </w:pPr>
      <w:r>
        <w:rPr>
          <w:rFonts w:ascii="宋体" w:hAnsi="宋体" w:eastAsia="宋体" w:cs="宋体"/>
          <w:b/>
          <w:bCs/>
          <w:color w:val="70AD47" w:themeColor="accent6"/>
          <w:kern w:val="0"/>
          <w:sz w:val="24"/>
          <w:szCs w:val="24"/>
          <w:shd w:val="clear" w:fill="F5F5FE"/>
          <w:lang w:val="en-US" w:eastAsia="zh-CN" w:bidi="ar"/>
          <w14:textFill>
            <w14:solidFill>
              <w14:schemeClr w14:val="accent6"/>
            </w14:solidFill>
          </w14:textFill>
        </w:rPr>
        <w:t xml:space="preserve">交通指引: </w:t>
      </w:r>
    </w:p>
    <w:p>
      <w:pPr>
        <w:pStyle w:val="3"/>
        <w:keepNext w:val="0"/>
        <w:keepLines w:val="0"/>
        <w:widowControl/>
        <w:suppressLineNumbers w:val="0"/>
        <w:spacing w:before="0" w:beforeAutospacing="0" w:after="0" w:afterAutospacing="0"/>
        <w:ind w:left="0" w:right="0"/>
        <w:jc w:val="left"/>
        <w:rPr>
          <w:rFonts w:hint="eastAsia"/>
          <w:shd w:val="clear" w:fill="F5F5FE"/>
          <w:lang w:val="en-US" w:eastAsia="zh-CN"/>
        </w:rPr>
      </w:pPr>
      <w:r>
        <w:rPr>
          <w:rFonts w:hint="eastAsia" w:ascii="宋体" w:hAnsi="宋体" w:eastAsia="宋体" w:cs="宋体"/>
          <w:color w:val="000000" w:themeColor="text1"/>
          <w:sz w:val="27"/>
          <w:szCs w:val="27"/>
          <w:shd w:val="clear" w:fill="F5F5FE"/>
          <w:lang w:eastAsia="zh-CN"/>
          <w14:textFill>
            <w14:solidFill>
              <w14:schemeClr w14:val="tx1"/>
            </w14:solidFill>
          </w14:textFill>
        </w:rPr>
        <w:t>乖搭公交车</w:t>
      </w:r>
      <w:r>
        <w:rPr>
          <w:rFonts w:hint="eastAsia" w:ascii="宋体" w:hAnsi="宋体" w:eastAsia="宋体" w:cs="宋体"/>
          <w:color w:val="000000" w:themeColor="text1"/>
          <w:sz w:val="27"/>
          <w:szCs w:val="27"/>
          <w:shd w:val="clear" w:fill="F5F5FE"/>
          <w:lang w:val="en-US" w:eastAsia="zh-CN"/>
          <w14:textFill>
            <w14:solidFill>
              <w14:schemeClr w14:val="tx1"/>
            </w14:solidFill>
          </w14:textFill>
        </w:rPr>
        <w:t>5线</w:t>
      </w:r>
      <w:r>
        <w:rPr>
          <w:shd w:val="clear" w:fill="F5F5FE"/>
        </w:rPr>
        <w:t>、</w:t>
      </w:r>
      <w:r>
        <w:rPr>
          <w:rFonts w:hint="eastAsia"/>
          <w:shd w:val="clear" w:fill="F5F5FE"/>
          <w:lang w:val="en-US" w:eastAsia="zh-CN"/>
        </w:rPr>
        <w:t>10线</w:t>
      </w:r>
      <w:r>
        <w:rPr>
          <w:shd w:val="clear" w:fill="F5F5FE"/>
        </w:rPr>
        <w:t>、</w:t>
      </w:r>
      <w:r>
        <w:rPr>
          <w:rFonts w:hint="eastAsia"/>
          <w:shd w:val="clear" w:fill="F5F5FE"/>
          <w:lang w:val="en-US" w:eastAsia="zh-CN"/>
        </w:rPr>
        <w:t>11线</w:t>
      </w:r>
      <w:r>
        <w:rPr>
          <w:shd w:val="clear" w:fill="F5F5FE"/>
        </w:rPr>
        <w:t>、</w:t>
      </w:r>
      <w:r>
        <w:rPr>
          <w:rFonts w:hint="eastAsia"/>
          <w:shd w:val="clear" w:fill="F5F5FE"/>
          <w:lang w:val="en-US" w:eastAsia="zh-CN"/>
        </w:rPr>
        <w:t>12线、38线到开发区财局站下车，16线、31线开发区管委会站下车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rPr>
        <w:t>咨询、投诉、</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6" w:leftChars="0" w:right="0" w:rightChars="0"/>
        <w:rPr>
          <w:rFonts w:hint="eastAsia" w:ascii="宋体" w:hAnsi="宋体" w:eastAsia="宋体" w:cs="宋体"/>
          <w:b/>
          <w:sz w:val="21"/>
          <w:szCs w:val="21"/>
        </w:rPr>
      </w:pPr>
      <w:r>
        <w:rPr>
          <w:rFonts w:hint="eastAsia" w:ascii="宋体" w:hAnsi="宋体" w:eastAsia="宋体" w:cs="宋体"/>
          <w:b/>
          <w:i w:val="0"/>
          <w:caps w:val="0"/>
          <w:color w:val="000000"/>
          <w:spacing w:val="0"/>
          <w:sz w:val="21"/>
          <w:szCs w:val="21"/>
        </w:rPr>
        <w:t>申请人可通过电话、窗口等方式进行咨询和许可进程查询。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line="375" w:lineRule="atLeast"/>
        <w:ind w:left="76" w:right="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rPr>
        <w:t>可电话查询（0759-2929010）或窗口查询。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6" w:leftChars="0" w:right="0" w:rightChars="0"/>
        <w:rPr>
          <w:rFonts w:hint="eastAsia" w:ascii="宋体" w:hAnsi="宋体" w:eastAsia="宋体" w:cs="宋体"/>
          <w:b/>
          <w:sz w:val="21"/>
          <w:szCs w:val="21"/>
        </w:rPr>
      </w:pPr>
      <w:r>
        <w:rPr>
          <w:rFonts w:hint="eastAsia" w:ascii="宋体" w:hAnsi="宋体" w:eastAsia="宋体" w:cs="宋体"/>
          <w:b/>
          <w:i w:val="0"/>
          <w:caps w:val="0"/>
          <w:color w:val="000000"/>
          <w:spacing w:val="0"/>
          <w:sz w:val="21"/>
          <w:szCs w:val="21"/>
        </w:rPr>
        <w:t>申请人可通过电话、窗口等方式进行投诉。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收费标准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按有关部门标准收费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常见问题解答</w:t>
      </w:r>
      <w:r>
        <w:rPr>
          <w:rFonts w:hint="eastAsia" w:ascii="宋体" w:hAnsi="宋体" w:eastAsia="宋体" w:cs="宋体"/>
          <w:color w:val="008000"/>
          <w:sz w:val="27"/>
          <w:szCs w:val="27"/>
          <w:shd w:val="clear" w:fill="F5F5FE"/>
        </w:rPr>
        <w:fldChar w:fldCharType="begin"/>
      </w:r>
      <w:r>
        <w:rPr>
          <w:rFonts w:hint="eastAsia" w:ascii="宋体" w:hAnsi="宋体" w:eastAsia="宋体" w:cs="宋体"/>
          <w:color w:val="008000"/>
          <w:sz w:val="27"/>
          <w:szCs w:val="27"/>
          <w:shd w:val="clear" w:fill="F5F5FE"/>
        </w:rPr>
        <w:instrText xml:space="preserve">INCLUDEPICTURE \d "http://www.zjwsbs.gov.cn/portal/view/common/images/ckcjwt.png" \* MERGEFORMATINET </w:instrText>
      </w:r>
      <w:r>
        <w:rPr>
          <w:rFonts w:hint="eastAsia" w:ascii="宋体" w:hAnsi="宋体" w:eastAsia="宋体" w:cs="宋体"/>
          <w:color w:val="008000"/>
          <w:sz w:val="27"/>
          <w:szCs w:val="27"/>
          <w:shd w:val="clear" w:fill="F5F5FE"/>
        </w:rPr>
        <w:fldChar w:fldCharType="separate"/>
      </w:r>
      <w:r>
        <w:rPr>
          <w:rFonts w:hint="eastAsia" w:ascii="宋体" w:hAnsi="宋体" w:eastAsia="宋体" w:cs="宋体"/>
          <w:color w:val="008000"/>
          <w:sz w:val="27"/>
          <w:szCs w:val="27"/>
          <w:shd w:val="clear" w:fill="F5F5FE"/>
        </w:rPr>
        <w:drawing>
          <wp:inline distT="0" distB="0" distL="114300" distR="114300">
            <wp:extent cx="1038225" cy="200025"/>
            <wp:effectExtent l="0" t="0" r="9525"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5"/>
                    <a:stretch>
                      <a:fillRect/>
                    </a:stretch>
                  </pic:blipFill>
                  <pic:spPr>
                    <a:xfrm>
                      <a:off x="0" y="0"/>
                      <a:ext cx="1038225" cy="200025"/>
                    </a:xfrm>
                    <a:prstGeom prst="rect">
                      <a:avLst/>
                    </a:prstGeom>
                    <a:noFill/>
                    <a:ln w="9525">
                      <a:noFill/>
                    </a:ln>
                  </pic:spPr>
                </pic:pic>
              </a:graphicData>
            </a:graphic>
          </wp:inline>
        </w:drawing>
      </w:r>
      <w:r>
        <w:rPr>
          <w:rFonts w:hint="eastAsia" w:ascii="宋体" w:hAnsi="宋体" w:eastAsia="宋体" w:cs="宋体"/>
          <w:color w:val="008000"/>
          <w:sz w:val="27"/>
          <w:szCs w:val="27"/>
          <w:shd w:val="clear" w:fill="F5F5FE"/>
        </w:rPr>
        <w:fldChar w:fldCharType="end"/>
      </w:r>
      <w:r>
        <w:rPr>
          <w:rFonts w:hint="eastAsia" w:ascii="宋体" w:hAnsi="宋体" w:eastAsia="宋体" w:cs="宋体"/>
          <w:color w:val="008000"/>
          <w:sz w:val="27"/>
          <w:szCs w:val="27"/>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主管部门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 xml:space="preserve">食品药品监管局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受理机构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 xml:space="preserve">食品药品监管局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表格下载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"http://www.zjwsbs.gov.cn/portal/serviceAttachmentAction.action?method=downFile&amp;attachmentId=4dd4aa57ac8d496aaf8be99349ca150b" </w:instrText>
      </w:r>
      <w:r>
        <w:rPr>
          <w:rFonts w:hint="eastAsia" w:ascii="宋体" w:hAnsi="宋体" w:eastAsia="宋体" w:cs="宋体"/>
          <w:color w:val="6688CC"/>
          <w:sz w:val="24"/>
          <w:szCs w:val="24"/>
          <w:u w:val="none"/>
          <w:shd w:val="clear" w:fill="F5F5FE"/>
        </w:rPr>
        <w:fldChar w:fldCharType="separate"/>
      </w:r>
      <w:r>
        <w:rPr>
          <w:rStyle w:val="8"/>
          <w:rFonts w:hint="eastAsia" w:ascii="宋体" w:hAnsi="宋体" w:eastAsia="宋体" w:cs="宋体"/>
          <w:color w:val="6688CC"/>
          <w:sz w:val="24"/>
          <w:szCs w:val="24"/>
          <w:u w:val="none"/>
          <w:shd w:val="clear" w:fill="F5F5FE"/>
        </w:rPr>
        <w:t>-《药品经营质量管理规范》认证证书变更申请表.doc</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"http://www.zjwsbs.gov.cn/portal/serviceAttachmentAction.action?method=downFile&amp;attachmentId=cc7f218b5ea14ba199fcaf12f5d4723d" </w:instrText>
      </w:r>
      <w:r>
        <w:rPr>
          <w:rFonts w:hint="eastAsia" w:ascii="宋体" w:hAnsi="宋体" w:eastAsia="宋体" w:cs="宋体"/>
          <w:color w:val="6688CC"/>
          <w:sz w:val="24"/>
          <w:szCs w:val="24"/>
          <w:u w:val="none"/>
          <w:shd w:val="clear" w:fill="F5F5FE"/>
        </w:rPr>
        <w:fldChar w:fldCharType="separate"/>
      </w:r>
      <w:r>
        <w:rPr>
          <w:rStyle w:val="8"/>
          <w:rFonts w:hint="eastAsia" w:ascii="宋体" w:hAnsi="宋体" w:eastAsia="宋体" w:cs="宋体"/>
          <w:color w:val="6688CC"/>
          <w:sz w:val="24"/>
          <w:szCs w:val="24"/>
          <w:u w:val="none"/>
          <w:shd w:val="clear" w:fill="F5F5FE"/>
        </w:rPr>
        <w:t>-《药品经营质量管理规范》认证证书变更申请表.doc</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办理依据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（1）《</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"http://www.zjwsbs.gov.cn/portal/serviceAttachmentAction.action?method=downFile&amp;attachmentId=33C0EA9B8D6740AD988C402D419F71BE" </w:instrText>
      </w:r>
      <w:r>
        <w:rPr>
          <w:rFonts w:hint="eastAsia" w:ascii="宋体" w:hAnsi="宋体" w:eastAsia="宋体" w:cs="宋体"/>
          <w:color w:val="6688CC"/>
          <w:sz w:val="24"/>
          <w:szCs w:val="24"/>
          <w:u w:val="none"/>
          <w:shd w:val="clear" w:fill="F5F5FE"/>
        </w:rPr>
        <w:fldChar w:fldCharType="separate"/>
      </w:r>
      <w:r>
        <w:rPr>
          <w:rStyle w:val="8"/>
          <w:rFonts w:hint="eastAsia" w:ascii="宋体" w:hAnsi="宋体" w:eastAsia="宋体" w:cs="宋体"/>
          <w:color w:val="6688CC"/>
          <w:sz w:val="24"/>
          <w:szCs w:val="24"/>
          <w:u w:val="none"/>
          <w:shd w:val="clear" w:fill="F5F5FE"/>
        </w:rPr>
        <w:t>中华人民共和国药品管理法</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》及其《实施条例》；</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（2）《</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"http://www.zjwsbs.gov.cn/portal/serviceAttachmentAction.action?method=downFile&amp;attachmentId=BCCFB8758234444BA01874BD13ACDB6B" </w:instrText>
      </w:r>
      <w:r>
        <w:rPr>
          <w:rFonts w:hint="eastAsia" w:ascii="宋体" w:hAnsi="宋体" w:eastAsia="宋体" w:cs="宋体"/>
          <w:color w:val="6688CC"/>
          <w:sz w:val="24"/>
          <w:szCs w:val="24"/>
          <w:u w:val="none"/>
          <w:shd w:val="clear" w:fill="F5F5FE"/>
        </w:rPr>
        <w:fldChar w:fldCharType="separate"/>
      </w:r>
      <w:r>
        <w:rPr>
          <w:rStyle w:val="8"/>
          <w:rFonts w:hint="eastAsia" w:ascii="宋体" w:hAnsi="宋体" w:eastAsia="宋体" w:cs="宋体"/>
          <w:color w:val="6688CC"/>
          <w:sz w:val="24"/>
          <w:szCs w:val="24"/>
          <w:u w:val="none"/>
          <w:shd w:val="clear" w:fill="F5F5FE"/>
        </w:rPr>
        <w:t>药品经营质量管理规范</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》及其《实施细则》；</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（3）</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"http://www.zjwsbs.gov.cn/portal/serviceAttachmentAction.action?method=downFile&amp;attachmentId=BCCFB8758234444BA01874BD13ACDB6B" </w:instrText>
      </w:r>
      <w:r>
        <w:rPr>
          <w:rFonts w:hint="eastAsia" w:ascii="宋体" w:hAnsi="宋体" w:eastAsia="宋体" w:cs="宋体"/>
          <w:color w:val="6688CC"/>
          <w:sz w:val="24"/>
          <w:szCs w:val="24"/>
          <w:u w:val="none"/>
          <w:shd w:val="clear" w:fill="F5F5FE"/>
        </w:rPr>
        <w:fldChar w:fldCharType="separate"/>
      </w:r>
      <w:r>
        <w:rPr>
          <w:rStyle w:val="8"/>
          <w:rFonts w:hint="eastAsia" w:ascii="宋体" w:hAnsi="宋体" w:eastAsia="宋体" w:cs="宋体"/>
          <w:color w:val="6688CC"/>
          <w:sz w:val="24"/>
          <w:szCs w:val="24"/>
          <w:u w:val="none"/>
          <w:shd w:val="clear" w:fill="F5F5FE"/>
        </w:rPr>
        <w:t>药品经营质量管理规范</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（GSP）认证管理办法（试行）（国药管市[2000]527号）；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（4）广东省</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"http://www.zjwsbs.gov.cn/portal/serviceAttachmentAction.action?method=downFile&amp;attachmentId=BCCFB8758234444BA01874BD13ACDB6B" </w:instrText>
      </w:r>
      <w:r>
        <w:rPr>
          <w:rFonts w:hint="eastAsia" w:ascii="宋体" w:hAnsi="宋体" w:eastAsia="宋体" w:cs="宋体"/>
          <w:color w:val="6688CC"/>
          <w:sz w:val="24"/>
          <w:szCs w:val="24"/>
          <w:u w:val="none"/>
          <w:shd w:val="clear" w:fill="F5F5FE"/>
        </w:rPr>
        <w:fldChar w:fldCharType="separate"/>
      </w:r>
      <w:r>
        <w:rPr>
          <w:rStyle w:val="8"/>
          <w:rFonts w:hint="eastAsia" w:ascii="宋体" w:hAnsi="宋体" w:eastAsia="宋体" w:cs="宋体"/>
          <w:color w:val="6688CC"/>
          <w:sz w:val="24"/>
          <w:szCs w:val="24"/>
          <w:u w:val="none"/>
          <w:shd w:val="clear" w:fill="F5F5FE"/>
        </w:rPr>
        <w:t>药品经营质量管理规范</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（GSP）认证管理办法（试行）（粤药监办[2003]27号）；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（5）关于开展药品零售企业GSP认证工作的通知（粤药监通[2003]275号）；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（6）关于开展药品零售企业GSP认证工作的补充通知（粤药监通[2003]350号）及其附件“广东省药品零售企业GSP认证程序”；</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（7）《</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"http://www.zjwsbs.gov.cn/portal/serviceAttachmentAction.action?method=downFile&amp;attachmentId=178D3F66F0164AB0A4D2968F13082457" </w:instrText>
      </w:r>
      <w:r>
        <w:rPr>
          <w:rFonts w:hint="eastAsia" w:ascii="宋体" w:hAnsi="宋体" w:eastAsia="宋体" w:cs="宋体"/>
          <w:color w:val="6688CC"/>
          <w:sz w:val="24"/>
          <w:szCs w:val="24"/>
          <w:u w:val="none"/>
          <w:shd w:val="clear" w:fill="F5F5FE"/>
        </w:rPr>
        <w:fldChar w:fldCharType="separate"/>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"http://www.zjwsbs.gov.cn/portal/serviceAttachmentAction.action?method=downFile&amp;attachmentId=655FB1A7A4B741ECAE9D4BC2A976F8E5" </w:instrText>
      </w:r>
      <w:r>
        <w:rPr>
          <w:rFonts w:hint="eastAsia" w:ascii="宋体" w:hAnsi="宋体" w:eastAsia="宋体" w:cs="宋体"/>
          <w:color w:val="6688CC"/>
          <w:sz w:val="24"/>
          <w:szCs w:val="24"/>
          <w:u w:val="none"/>
          <w:shd w:val="clear" w:fill="F5F5FE"/>
        </w:rPr>
        <w:fldChar w:fldCharType="separate"/>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"http://www.zjwsbs.gov.cn/portal/serviceAttachmentAction.action?method=downFile&amp;attachmentId=B166351125EE4797A069DC141FBB102E" </w:instrText>
      </w:r>
      <w:r>
        <w:rPr>
          <w:rFonts w:hint="eastAsia" w:ascii="宋体" w:hAnsi="宋体" w:eastAsia="宋体" w:cs="宋体"/>
          <w:color w:val="6688CC"/>
          <w:sz w:val="24"/>
          <w:szCs w:val="24"/>
          <w:u w:val="none"/>
          <w:shd w:val="clear" w:fill="F5F5FE"/>
        </w:rPr>
        <w:fldChar w:fldCharType="separate"/>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"http://www.zjwsbs.gov.cn/portal/serviceAttachmentAction.action?method=downFile&amp;attachmentId=7C1DBD9535EF47BB9057EBD974DB500B" </w:instrText>
      </w:r>
      <w:r>
        <w:rPr>
          <w:rFonts w:hint="eastAsia" w:ascii="宋体" w:hAnsi="宋体" w:eastAsia="宋体" w:cs="宋体"/>
          <w:color w:val="6688CC"/>
          <w:sz w:val="24"/>
          <w:szCs w:val="24"/>
          <w:u w:val="none"/>
          <w:shd w:val="clear" w:fill="F5F5FE"/>
        </w:rPr>
        <w:fldChar w:fldCharType="separate"/>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"http://www.zjwsbs.gov.cn/portal/serviceAttachmentAction.action?method=downFile&amp;attachmentId=58D2453BA2644DD480E339B0FDCF2525" </w:instrText>
      </w:r>
      <w:r>
        <w:rPr>
          <w:rFonts w:hint="eastAsia" w:ascii="宋体" w:hAnsi="宋体" w:eastAsia="宋体" w:cs="宋体"/>
          <w:color w:val="6688CC"/>
          <w:sz w:val="24"/>
          <w:szCs w:val="24"/>
          <w:u w:val="none"/>
          <w:shd w:val="clear" w:fill="F5F5FE"/>
        </w:rPr>
        <w:fldChar w:fldCharType="separate"/>
      </w:r>
      <w:r>
        <w:rPr>
          <w:rStyle w:val="8"/>
          <w:rFonts w:hint="eastAsia" w:ascii="宋体" w:hAnsi="宋体" w:eastAsia="宋体" w:cs="宋体"/>
          <w:color w:val="6688CC"/>
          <w:sz w:val="24"/>
          <w:szCs w:val="24"/>
          <w:u w:val="none"/>
          <w:shd w:val="clear" w:fill="F5F5FE"/>
        </w:rPr>
        <w:t>关于做好广东省药学技术人员管理工作的通知</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》（粤食药监人〔2009〕119号）；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（8）《</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"http://www.zjwsbs.gov.cn/portal/serviceAttachmentAction.action?method=downFile&amp;attachmentId=A23443ABD74445339A5D1616E5A59DC9" </w:instrText>
      </w:r>
      <w:r>
        <w:rPr>
          <w:rFonts w:hint="eastAsia" w:ascii="宋体" w:hAnsi="宋体" w:eastAsia="宋体" w:cs="宋体"/>
          <w:color w:val="6688CC"/>
          <w:sz w:val="24"/>
          <w:szCs w:val="24"/>
          <w:u w:val="none"/>
          <w:shd w:val="clear" w:fill="F5F5FE"/>
        </w:rPr>
        <w:fldChar w:fldCharType="separate"/>
      </w:r>
      <w:r>
        <w:rPr>
          <w:rStyle w:val="8"/>
          <w:rFonts w:hint="eastAsia" w:ascii="宋体" w:hAnsi="宋体" w:eastAsia="宋体" w:cs="宋体"/>
          <w:color w:val="6688CC"/>
          <w:sz w:val="24"/>
          <w:szCs w:val="24"/>
          <w:u w:val="none"/>
          <w:shd w:val="clear" w:fill="F5F5FE"/>
        </w:rPr>
        <w:t>国务院关于第六批取消和调整行政审批项目的决定</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》（国发〔2012〕52号）；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（9）《</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"http://www.zjwsbs.gov.cn/portal/serviceAttachmentAction.action?method=downFile&amp;attachmentId=A1CAED0D666A47AAB3360FBE3E8578F4" </w:instrText>
      </w:r>
      <w:r>
        <w:rPr>
          <w:rFonts w:hint="eastAsia" w:ascii="宋体" w:hAnsi="宋体" w:eastAsia="宋体" w:cs="宋体"/>
          <w:color w:val="6688CC"/>
          <w:sz w:val="24"/>
          <w:szCs w:val="24"/>
          <w:u w:val="none"/>
          <w:shd w:val="clear" w:fill="F5F5FE"/>
        </w:rPr>
        <w:fldChar w:fldCharType="separate"/>
      </w:r>
      <w:r>
        <w:rPr>
          <w:rStyle w:val="8"/>
          <w:rFonts w:hint="eastAsia" w:ascii="宋体" w:hAnsi="宋体" w:eastAsia="宋体" w:cs="宋体"/>
          <w:color w:val="6688CC"/>
          <w:sz w:val="24"/>
          <w:szCs w:val="24"/>
          <w:u w:val="none"/>
          <w:shd w:val="clear" w:fill="F5F5FE"/>
        </w:rPr>
        <w:t>国家食品药品监督管理局关于落实国务院决定做好第六批取消调整行政审批项目后续监管和衔接工作的通知</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》（国食药监法〔2012〕323号）；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（10）省局《关于做好药品零售企业〈</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"http://www.zjwsbs.gov.cn/portal/serviceAttachmentAction.action?method=downFile&amp;attachmentId=BCCFB8758234444BA01874BD13ACDB6B" </w:instrText>
      </w:r>
      <w:r>
        <w:rPr>
          <w:rFonts w:hint="eastAsia" w:ascii="宋体" w:hAnsi="宋体" w:eastAsia="宋体" w:cs="宋体"/>
          <w:color w:val="6688CC"/>
          <w:sz w:val="24"/>
          <w:szCs w:val="24"/>
          <w:u w:val="none"/>
          <w:shd w:val="clear" w:fill="F5F5FE"/>
        </w:rPr>
        <w:fldChar w:fldCharType="separate"/>
      </w:r>
      <w:r>
        <w:rPr>
          <w:rStyle w:val="8"/>
          <w:rFonts w:hint="eastAsia" w:ascii="宋体" w:hAnsi="宋体" w:eastAsia="宋体" w:cs="宋体"/>
          <w:color w:val="6688CC"/>
          <w:sz w:val="24"/>
          <w:szCs w:val="24"/>
          <w:u w:val="none"/>
          <w:shd w:val="clear" w:fill="F5F5FE"/>
        </w:rPr>
        <w:t>药品经营质量管理规范</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〉认证管理工作的通知》(食药监办〔2013〕81号)。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备注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无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5071C"/>
    <w:rsid w:val="1B9B4018"/>
    <w:rsid w:val="210567B6"/>
    <w:rsid w:val="4D4A4C59"/>
    <w:rsid w:val="52DC20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Pr>
      <w:kern w:val="0"/>
      <w:sz w:val="24"/>
      <w:lang w:val="en-US" w:eastAsia="zh-CN" w:bidi="ar"/>
    </w:rPr>
  </w:style>
  <w:style w:type="character" w:styleId="5">
    <w:name w:val="Emphasis"/>
    <w:basedOn w:val="4"/>
    <w:qFormat/>
    <w:uiPriority w:val="0"/>
  </w:style>
  <w:style w:type="character" w:styleId="6">
    <w:name w:val="HTML Definition"/>
    <w:basedOn w:val="4"/>
    <w:qFormat/>
    <w:uiPriority w:val="0"/>
  </w:style>
  <w:style w:type="character" w:styleId="7">
    <w:name w:val="HTML Variable"/>
    <w:basedOn w:val="4"/>
    <w:qFormat/>
    <w:uiPriority w:val="0"/>
  </w:style>
  <w:style w:type="character" w:styleId="8">
    <w:name w:val="Hyperlink"/>
    <w:basedOn w:val="4"/>
    <w:qFormat/>
    <w:uiPriority w:val="0"/>
    <w:rPr>
      <w:color w:val="6688CC"/>
      <w:u w:val="none"/>
    </w:rPr>
  </w:style>
  <w:style w:type="character" w:styleId="9">
    <w:name w:val="HTML Code"/>
    <w:basedOn w:val="4"/>
    <w:qFormat/>
    <w:uiPriority w:val="0"/>
    <w:rPr>
      <w:rFonts w:ascii="Courier New" w:hAnsi="Courier New"/>
      <w:sz w:val="20"/>
    </w:rPr>
  </w:style>
  <w:style w:type="character" w:styleId="10">
    <w:name w:val="HTML Cite"/>
    <w:basedOn w:val="4"/>
    <w:qFormat/>
    <w:uiPriority w:val="0"/>
    <w:rPr>
      <w:color w:val="6688CC"/>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2017-03-23T02:45:53Z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