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333343" w:sz="12" w:space="0"/>
          <w:right w:val="none" w:color="auto" w:sz="0" w:space="0"/>
        </w:pBdr>
        <w:shd w:val="clear" w:color="auto" w:fill="EEEEEE"/>
        <w:spacing w:before="0" w:beforeAutospacing="0" w:after="0" w:afterAutospacing="0" w:line="375" w:lineRule="atLeast"/>
        <w:ind w:left="0" w:right="0" w:firstLine="0"/>
        <w:jc w:val="left"/>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kern w:val="0"/>
          <w:sz w:val="19"/>
          <w:szCs w:val="19"/>
          <w:shd w:val="clear" w:color="auto" w:fill="EEEEEE"/>
          <w:lang w:val="en-US" w:eastAsia="zh-CN" w:bidi="ar"/>
        </w:rPr>
        <w:t>广东省行政许可事项标准 (事项编码: )</w:t>
      </w:r>
    </w:p>
    <w:p>
      <w:pPr>
        <w:pStyle w:val="2"/>
        <w:keepNext w:val="0"/>
        <w:keepLines w:val="0"/>
        <w:widowControl/>
        <w:suppressLineNumbers w:val="0"/>
        <w:spacing w:before="0" w:beforeAutospacing="0" w:after="0" w:afterAutospacing="0" w:line="600" w:lineRule="atLeast"/>
        <w:ind w:left="300" w:right="0"/>
        <w:jc w:val="left"/>
        <w:rPr>
          <w:rFonts w:hint="eastAsia" w:ascii="宋体" w:hAnsi="宋体" w:eastAsia="宋体" w:cs="宋体"/>
          <w:i w:val="0"/>
          <w:caps w:val="0"/>
          <w:color w:val="000000"/>
          <w:spacing w:val="0"/>
          <w:sz w:val="44"/>
          <w:szCs w:val="44"/>
        </w:rPr>
      </w:pPr>
      <w:r>
        <w:rPr>
          <w:color w:val="000000" w:themeColor="text1"/>
          <w:sz w:val="44"/>
          <w:szCs w:val="44"/>
          <w:shd w:val="clear" w:fill="FEFEFE"/>
          <w14:textFill>
            <w14:solidFill>
              <w14:schemeClr w14:val="tx1"/>
            </w14:solidFill>
          </w14:textFill>
        </w:rPr>
        <w:t>药品零售企业《药品经营质量管理规范认证证书》</w:t>
      </w:r>
      <w:r>
        <w:rPr>
          <w:rFonts w:hint="eastAsia"/>
          <w:color w:val="000000" w:themeColor="text1"/>
          <w:sz w:val="44"/>
          <w:szCs w:val="44"/>
          <w:shd w:val="clear" w:fill="FEFEFE"/>
          <w:lang w:eastAsia="zh-CN"/>
          <w14:textFill>
            <w14:solidFill>
              <w14:schemeClr w14:val="tx1"/>
            </w14:solidFill>
          </w14:textFill>
        </w:rPr>
        <w:t>换证</w:t>
      </w:r>
      <w:r>
        <w:rPr>
          <w:rFonts w:hint="eastAsia" w:ascii="宋体" w:hAnsi="宋体" w:eastAsia="宋体" w:cs="宋体"/>
          <w:i w:val="0"/>
          <w:caps w:val="0"/>
          <w:color w:val="000000"/>
          <w:spacing w:val="0"/>
          <w:sz w:val="44"/>
          <w:szCs w:val="44"/>
        </w:rPr>
        <w:t>办事指南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center"/>
        <w:rPr>
          <w:rFonts w:ascii="黑体" w:eastAsia="黑体" w:cs="黑体"/>
          <w:b w:val="0"/>
          <w:i w:val="0"/>
          <w:caps w:val="0"/>
          <w:color w:val="000000"/>
          <w:spacing w:val="0"/>
          <w:sz w:val="21"/>
          <w:szCs w:val="21"/>
        </w:rPr>
      </w:pPr>
      <w:r>
        <w:rPr>
          <w:rFonts w:hint="eastAsia" w:ascii="黑体" w:hAnsi="宋体" w:eastAsia="黑体" w:cs="黑体"/>
          <w:b w:val="0"/>
          <w:i w:val="0"/>
          <w:caps w:val="0"/>
          <w:color w:val="000000"/>
          <w:spacing w:val="0"/>
          <w:kern w:val="0"/>
          <w:sz w:val="21"/>
          <w:szCs w:val="21"/>
          <w:lang w:val="en-US" w:eastAsia="zh-CN" w:bidi="ar"/>
        </w:rPr>
        <w:t>开发区食品药品监督管理局      2015－2－1 发布      2015－2－1</w:t>
      </w:r>
      <w:bookmarkStart w:id="0" w:name="_GoBack"/>
      <w:bookmarkEnd w:id="0"/>
      <w:r>
        <w:rPr>
          <w:rFonts w:hint="eastAsia" w:ascii="黑体" w:hAnsi="宋体" w:eastAsia="黑体" w:cs="黑体"/>
          <w:b w:val="0"/>
          <w:i w:val="0"/>
          <w:caps w:val="0"/>
          <w:color w:val="000000"/>
          <w:spacing w:val="0"/>
          <w:kern w:val="0"/>
          <w:sz w:val="21"/>
          <w:szCs w:val="21"/>
          <w:lang w:val="en-US" w:eastAsia="zh-CN" w:bidi="ar"/>
        </w:rPr>
        <w:t xml:space="preserve"> 实施</w:t>
      </w:r>
    </w:p>
    <w:p>
      <w:pPr>
        <w:keepNext w:val="0"/>
        <w:keepLines w:val="0"/>
        <w:widowControl/>
        <w:suppressLineNumbers w:val="0"/>
        <w:pBdr>
          <w:top w:val="none" w:color="auto" w:sz="0" w:space="0"/>
          <w:left w:val="none" w:color="auto" w:sz="0" w:space="0"/>
          <w:bottom w:val="single" w:color="800008" w:sz="12" w:space="0"/>
          <w:right w:val="none" w:color="auto" w:sz="0" w:space="0"/>
        </w:pBdr>
        <w:spacing w:before="0" w:beforeAutospacing="0" w:after="300" w:afterAutospacing="0" w:line="450" w:lineRule="atLeast"/>
        <w:ind w:left="0" w:right="0" w:firstLine="0"/>
        <w:rPr>
          <w:rFonts w:hint="eastAsia" w:ascii="宋体" w:hAnsi="宋体" w:eastAsia="宋体" w:cs="宋体"/>
          <w:b w:val="0"/>
          <w:i w:val="0"/>
          <w:caps w:val="0"/>
          <w:color w:val="000000"/>
          <w:spacing w:val="0"/>
          <w:sz w:val="24"/>
          <w:szCs w:val="24"/>
        </w:rPr>
      </w:pPr>
      <w:r>
        <w:rPr>
          <w:rFonts w:ascii="黑体" w:eastAsia="黑体" w:cs="黑体"/>
          <w:b w:val="0"/>
          <w:i w:val="0"/>
          <w:caps w:val="0"/>
          <w:color w:val="000000"/>
          <w:spacing w:val="0"/>
          <w:sz w:val="21"/>
          <w:szCs w:val="21"/>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办理对象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企业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办理条件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（1）具有以下情形之一：</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①具有企业法人资格的药品经营企业；</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②非专营药品的企业法人下属的药品经营企业；</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③不具有企业法人资格且无上级主管单位的药品经营实体。</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（2）有经合法程序领取的《药品经营许可证》和《营业执照》。</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（3）企业经过内部评审，基本符合《药品经营质量管理规范》及其实施细则的条件和要求。</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 xml:space="preserve">（4）在申请GSP认证前1年内未因违法违规经营而出现销售假劣药品问题。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所需材料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申请GSP认证的企业，应填报 《药品经营质量管理规范认证申请书》，同时按下列要求报送以下资料：</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（1）《药品经营许可证》和营业执照复印件；</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（2）企业实施GSP情况的自查报告；</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（3） 企业负责人员和质量管理人员情况表，企业养护人员情况表；</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（4）企业药品经营质量管理文件目录；</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（5）企业经营场所和仓库的平面布局图、地理位置图（需标明方向、附近主干道、街道、标志性建筑或明显地理特征）；</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（6）一年内有无违法违规经营或经销假劣药品问题的书面说明。</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（7）所有从业人员身份证、聘书、学历、岗位证明、职称（或资格证书）、注册证明、区级以上医院出具的健康证明（有效期内）原件、复印件；</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8）所有药学技术人员登记备案凭证（具体办理条件可依照粤食药监人〔2009〕119号文件要求或咨询我局培训中心2836832、2836833）、继续教育凭证（同时担任质管员的药学技术人员，只需参加质管员继续教育或药学技术人员继续教育中的一项）原件、复印件；</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（9）企业负责人参加法律法规培训的证明文件原件、复印件；</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（10）GSP认证证书原件、复印件。</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 xml:space="preserve">提交申报材料统一电脑打字、用A4纸打印，复印件另要注明“经审核复印件与原件相符”字样，并加盖企业公章、标注页码、按顺序装订成册。各类证书原件在核验后退回申办人。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窗口办理流程 </w:t>
      </w:r>
      <w:r>
        <w:rPr>
          <w:rFonts w:hint="eastAsia" w:ascii="宋体" w:hAnsi="宋体" w:eastAsia="宋体" w:cs="宋体"/>
          <w:color w:val="6688CC"/>
          <w:sz w:val="27"/>
          <w:szCs w:val="27"/>
          <w:u w:val="none"/>
          <w:shd w:val="clear" w:fill="F5F5FE"/>
        </w:rPr>
        <w:fldChar w:fldCharType="begin"/>
      </w:r>
      <w:r>
        <w:rPr>
          <w:rFonts w:hint="eastAsia" w:ascii="宋体" w:hAnsi="宋体" w:eastAsia="宋体" w:cs="宋体"/>
          <w:color w:val="6688CC"/>
          <w:sz w:val="27"/>
          <w:szCs w:val="27"/>
          <w:u w:val="none"/>
          <w:shd w:val="clear" w:fill="F5F5FE"/>
        </w:rPr>
        <w:instrText xml:space="preserve"> HYPERLINK "http://www.zjwsbs.gov.cn/wsdt/A6F9D13E04E54C209EF0AB9E4EC2E92F/7E6A288E57024466953CF85D8C412BC2/4a29bf52cd1a4db89dbbd256ecfc79a3.jpg" \t "http://www.zjwsbs.gov.cn/portal/blank" </w:instrText>
      </w:r>
      <w:r>
        <w:rPr>
          <w:rFonts w:hint="eastAsia" w:ascii="宋体" w:hAnsi="宋体" w:eastAsia="宋体" w:cs="宋体"/>
          <w:color w:val="6688CC"/>
          <w:sz w:val="27"/>
          <w:szCs w:val="27"/>
          <w:u w:val="none"/>
          <w:shd w:val="clear" w:fill="F5F5FE"/>
        </w:rPr>
        <w:fldChar w:fldCharType="separate"/>
      </w:r>
      <w:r>
        <w:rPr>
          <w:rStyle w:val="9"/>
          <w:rFonts w:hint="eastAsia" w:ascii="宋体" w:hAnsi="宋体" w:eastAsia="宋体" w:cs="宋体"/>
          <w:color w:val="6688CC"/>
          <w:sz w:val="27"/>
          <w:szCs w:val="27"/>
          <w:u w:val="none"/>
          <w:shd w:val="clear" w:fill="F5F5FE"/>
        </w:rPr>
        <w:fldChar w:fldCharType="begin"/>
      </w:r>
      <w:r>
        <w:rPr>
          <w:rStyle w:val="9"/>
          <w:rFonts w:hint="eastAsia" w:ascii="宋体" w:hAnsi="宋体" w:eastAsia="宋体" w:cs="宋体"/>
          <w:color w:val="6688CC"/>
          <w:sz w:val="27"/>
          <w:szCs w:val="27"/>
          <w:u w:val="none"/>
          <w:shd w:val="clear" w:fill="F5F5FE"/>
        </w:rPr>
        <w:instrText xml:space="preserve">INCLUDEPICTURE \d "http://www.zjwsbs.gov.cn/portal/view/common/images/lct.png" \* MERGEFORMATINET </w:instrText>
      </w:r>
      <w:r>
        <w:rPr>
          <w:rStyle w:val="9"/>
          <w:rFonts w:hint="eastAsia" w:ascii="宋体" w:hAnsi="宋体" w:eastAsia="宋体" w:cs="宋体"/>
          <w:color w:val="6688CC"/>
          <w:sz w:val="27"/>
          <w:szCs w:val="27"/>
          <w:u w:val="none"/>
          <w:shd w:val="clear" w:fill="F5F5FE"/>
        </w:rPr>
        <w:fldChar w:fldCharType="separate"/>
      </w:r>
      <w:r>
        <w:rPr>
          <w:rStyle w:val="9"/>
          <w:rFonts w:hint="eastAsia" w:ascii="宋体" w:hAnsi="宋体" w:eastAsia="宋体" w:cs="宋体"/>
          <w:color w:val="6688CC"/>
          <w:sz w:val="27"/>
          <w:szCs w:val="27"/>
          <w:u w:val="none"/>
          <w:shd w:val="clear" w:fill="F5F5FE"/>
        </w:rPr>
        <w:drawing>
          <wp:inline distT="0" distB="0" distL="114300" distR="114300">
            <wp:extent cx="990600" cy="1905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990600" cy="190500"/>
                    </a:xfrm>
                    <a:prstGeom prst="rect">
                      <a:avLst/>
                    </a:prstGeom>
                    <a:noFill/>
                    <a:ln w="9525">
                      <a:noFill/>
                    </a:ln>
                  </pic:spPr>
                </pic:pic>
              </a:graphicData>
            </a:graphic>
          </wp:inline>
        </w:drawing>
      </w:r>
      <w:r>
        <w:rPr>
          <w:rStyle w:val="9"/>
          <w:rFonts w:hint="eastAsia" w:ascii="宋体" w:hAnsi="宋体" w:eastAsia="宋体" w:cs="宋体"/>
          <w:color w:val="6688CC"/>
          <w:sz w:val="27"/>
          <w:szCs w:val="27"/>
          <w:u w:val="none"/>
          <w:shd w:val="clear" w:fill="F5F5FE"/>
        </w:rPr>
        <w:fldChar w:fldCharType="end"/>
      </w:r>
      <w:r>
        <w:rPr>
          <w:rFonts w:hint="eastAsia" w:ascii="宋体" w:hAnsi="宋体" w:eastAsia="宋体" w:cs="宋体"/>
          <w:color w:val="6688CC"/>
          <w:sz w:val="27"/>
          <w:szCs w:val="27"/>
          <w:u w:val="none"/>
          <w:shd w:val="clear" w:fill="F5F5FE"/>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申办：申请人在实体大厅申请并递交材料</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受理：</w:t>
      </w:r>
      <w:r>
        <w:rPr>
          <w:rFonts w:hint="eastAsia" w:ascii="宋体" w:hAnsi="宋体" w:eastAsia="宋体" w:cs="宋体"/>
          <w:sz w:val="24"/>
          <w:szCs w:val="24"/>
          <w:shd w:val="clear" w:fill="F5F5FE"/>
          <w:lang w:eastAsia="zh-CN"/>
        </w:rPr>
        <w:t>开发区</w:t>
      </w:r>
      <w:r>
        <w:rPr>
          <w:rFonts w:hint="eastAsia" w:ascii="宋体" w:hAnsi="宋体" w:eastAsia="宋体" w:cs="宋体"/>
          <w:sz w:val="24"/>
          <w:szCs w:val="24"/>
          <w:shd w:val="clear" w:fill="F5F5FE"/>
        </w:rPr>
        <w:t>食品药品监管局窗口审查资料，对资料齐全并符合受理条件的进行受理</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办理：业务科室和分管领导在承诺时间内进行资料及现场审查、审批</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办结：申请人到</w:t>
      </w:r>
      <w:r>
        <w:rPr>
          <w:rFonts w:hint="eastAsia" w:ascii="宋体" w:hAnsi="宋体" w:eastAsia="宋体" w:cs="宋体"/>
          <w:sz w:val="24"/>
          <w:szCs w:val="24"/>
          <w:shd w:val="clear" w:fill="F5F5FE"/>
          <w:lang w:eastAsia="zh-CN"/>
        </w:rPr>
        <w:t>开发区</w:t>
      </w:r>
      <w:r>
        <w:rPr>
          <w:rFonts w:hint="eastAsia" w:ascii="宋体" w:hAnsi="宋体" w:eastAsia="宋体" w:cs="宋体"/>
          <w:sz w:val="24"/>
          <w:szCs w:val="24"/>
          <w:shd w:val="clear" w:fill="F5F5FE"/>
        </w:rPr>
        <w:t xml:space="preserve">食品药品监管局窗口领取相关证件或文件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办理时限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法定时限说明： 三个月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承诺时限说明： 三个月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办事窗口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湛江经济技术开发区行政服务中心食品药品监督管理局窗口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窗口地址：湛江经济技术开发区人民大道中42号泰华大厦一楼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窗口电话：0759-2929010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5FE"/>
        <w:spacing w:before="0" w:beforeAutospacing="0" w:after="0" w:afterAutospacing="0"/>
        <w:ind w:left="0" w:right="0"/>
        <w:jc w:val="left"/>
        <w:rPr>
          <w:sz w:val="21"/>
          <w:szCs w:val="21"/>
          <w:shd w:val="clear" w:fill="F5F5FE"/>
        </w:rPr>
      </w:pPr>
      <w:r>
        <w:rPr>
          <w:rFonts w:hint="eastAsia"/>
          <w:sz w:val="21"/>
          <w:szCs w:val="21"/>
          <w:shd w:val="clear" w:fill="F5F5FE"/>
          <w:lang w:eastAsia="zh-CN"/>
        </w:rPr>
        <w:t>工作时间：</w:t>
      </w:r>
      <w:r>
        <w:rPr>
          <w:sz w:val="21"/>
          <w:szCs w:val="21"/>
          <w:shd w:val="clear" w:fill="F5F5FE"/>
        </w:rPr>
        <w:t>周一至周五上午8:</w:t>
      </w:r>
      <w:r>
        <w:rPr>
          <w:rFonts w:hint="eastAsia"/>
          <w:sz w:val="21"/>
          <w:szCs w:val="21"/>
          <w:shd w:val="clear" w:fill="F5F5FE"/>
          <w:lang w:val="en-US" w:eastAsia="zh-CN"/>
        </w:rPr>
        <w:t>30</w:t>
      </w:r>
      <w:r>
        <w:rPr>
          <w:sz w:val="21"/>
          <w:szCs w:val="21"/>
          <w:shd w:val="clear" w:fill="F5F5FE"/>
        </w:rPr>
        <w:t>至1</w:t>
      </w:r>
      <w:r>
        <w:rPr>
          <w:rFonts w:hint="eastAsia"/>
          <w:sz w:val="21"/>
          <w:szCs w:val="21"/>
          <w:shd w:val="clear" w:fill="F5F5FE"/>
          <w:lang w:val="en-US" w:eastAsia="zh-CN"/>
        </w:rPr>
        <w:t>2</w:t>
      </w:r>
      <w:r>
        <w:rPr>
          <w:sz w:val="21"/>
          <w:szCs w:val="21"/>
          <w:shd w:val="clear" w:fill="F5F5FE"/>
        </w:rPr>
        <w:t>:</w:t>
      </w:r>
      <w:r>
        <w:rPr>
          <w:rFonts w:hint="eastAsia"/>
          <w:sz w:val="21"/>
          <w:szCs w:val="21"/>
          <w:shd w:val="clear" w:fill="F5F5FE"/>
          <w:lang w:val="en-US" w:eastAsia="zh-CN"/>
        </w:rPr>
        <w:t>00</w:t>
      </w:r>
      <w:r>
        <w:rPr>
          <w:sz w:val="21"/>
          <w:szCs w:val="21"/>
          <w:shd w:val="clear" w:fill="F5F5FE"/>
        </w:rPr>
        <w:t>下午14:</w:t>
      </w:r>
      <w:r>
        <w:rPr>
          <w:rFonts w:hint="eastAsia"/>
          <w:sz w:val="21"/>
          <w:szCs w:val="21"/>
          <w:shd w:val="clear" w:fill="F5F5FE"/>
          <w:lang w:val="en-US" w:eastAsia="zh-CN"/>
        </w:rPr>
        <w:t>3</w:t>
      </w:r>
      <w:r>
        <w:rPr>
          <w:sz w:val="21"/>
          <w:szCs w:val="21"/>
          <w:shd w:val="clear" w:fill="F5F5FE"/>
        </w:rPr>
        <w:t>0至1</w:t>
      </w:r>
      <w:r>
        <w:rPr>
          <w:rFonts w:hint="eastAsia"/>
          <w:sz w:val="21"/>
          <w:szCs w:val="21"/>
          <w:shd w:val="clear" w:fill="F5F5FE"/>
          <w:lang w:val="en-US" w:eastAsia="zh-CN"/>
        </w:rPr>
        <w:t>8</w:t>
      </w:r>
      <w:r>
        <w:rPr>
          <w:sz w:val="21"/>
          <w:szCs w:val="21"/>
          <w:shd w:val="clear" w:fill="F5F5FE"/>
        </w:rPr>
        <w:t>:</w:t>
      </w:r>
      <w:r>
        <w:rPr>
          <w:rFonts w:hint="eastAsia"/>
          <w:sz w:val="21"/>
          <w:szCs w:val="21"/>
          <w:shd w:val="clear" w:fill="F5F5FE"/>
          <w:lang w:val="en-US" w:eastAsia="zh-CN"/>
        </w:rPr>
        <w:t>00</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rightChars="0"/>
        <w:rPr>
          <w:rFonts w:hint="eastAsia" w:ascii="宋体" w:hAnsi="宋体" w:eastAsia="宋体" w:cs="宋体"/>
          <w:b/>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5FE"/>
        <w:spacing w:before="0" w:beforeAutospacing="0" w:after="0" w:afterAutospacing="0"/>
        <w:ind w:left="0" w:right="0"/>
        <w:jc w:val="left"/>
        <w:rPr>
          <w:b/>
          <w:bCs/>
          <w:color w:val="70AD47" w:themeColor="accent6"/>
          <w14:textFill>
            <w14:solidFill>
              <w14:schemeClr w14:val="accent6"/>
            </w14:solidFill>
          </w14:textFill>
        </w:rPr>
      </w:pPr>
      <w:r>
        <w:rPr>
          <w:rFonts w:ascii="宋体" w:hAnsi="宋体" w:eastAsia="宋体" w:cs="宋体"/>
          <w:b/>
          <w:bCs/>
          <w:color w:val="70AD47" w:themeColor="accent6"/>
          <w:kern w:val="0"/>
          <w:sz w:val="24"/>
          <w:szCs w:val="24"/>
          <w:shd w:val="clear" w:fill="F5F5FE"/>
          <w:lang w:val="en-US" w:eastAsia="zh-CN" w:bidi="ar"/>
          <w14:textFill>
            <w14:solidFill>
              <w14:schemeClr w14:val="accent6"/>
            </w14:solidFill>
          </w14:textFill>
        </w:rPr>
        <w:t xml:space="preserve">交通指引: </w:t>
      </w:r>
    </w:p>
    <w:p>
      <w:pPr>
        <w:pStyle w:val="3"/>
        <w:keepNext w:val="0"/>
        <w:keepLines w:val="0"/>
        <w:widowControl/>
        <w:suppressLineNumbers w:val="0"/>
        <w:spacing w:before="0" w:beforeAutospacing="0" w:after="0" w:afterAutospacing="0"/>
        <w:ind w:left="0" w:right="0"/>
        <w:jc w:val="left"/>
        <w:rPr>
          <w:rFonts w:hint="eastAsia"/>
          <w:shd w:val="clear" w:fill="F5F5FE"/>
          <w:lang w:val="en-US" w:eastAsia="zh-CN"/>
        </w:rPr>
      </w:pPr>
      <w:r>
        <w:rPr>
          <w:rFonts w:hint="eastAsia" w:ascii="宋体" w:hAnsi="宋体" w:eastAsia="宋体" w:cs="宋体"/>
          <w:color w:val="000000" w:themeColor="text1"/>
          <w:sz w:val="27"/>
          <w:szCs w:val="27"/>
          <w:shd w:val="clear" w:fill="F5F5FE"/>
          <w:lang w:eastAsia="zh-CN"/>
          <w14:textFill>
            <w14:solidFill>
              <w14:schemeClr w14:val="tx1"/>
            </w14:solidFill>
          </w14:textFill>
        </w:rPr>
        <w:t>乖搭公交车</w:t>
      </w:r>
      <w:r>
        <w:rPr>
          <w:rFonts w:hint="eastAsia" w:ascii="宋体" w:hAnsi="宋体" w:eastAsia="宋体" w:cs="宋体"/>
          <w:color w:val="000000" w:themeColor="text1"/>
          <w:sz w:val="27"/>
          <w:szCs w:val="27"/>
          <w:shd w:val="clear" w:fill="F5F5FE"/>
          <w:lang w:val="en-US" w:eastAsia="zh-CN"/>
          <w14:textFill>
            <w14:solidFill>
              <w14:schemeClr w14:val="tx1"/>
            </w14:solidFill>
          </w14:textFill>
        </w:rPr>
        <w:t>5线</w:t>
      </w:r>
      <w:r>
        <w:rPr>
          <w:shd w:val="clear" w:fill="F5F5FE"/>
        </w:rPr>
        <w:t>、</w:t>
      </w:r>
      <w:r>
        <w:rPr>
          <w:rFonts w:hint="eastAsia"/>
          <w:shd w:val="clear" w:fill="F5F5FE"/>
          <w:lang w:val="en-US" w:eastAsia="zh-CN"/>
        </w:rPr>
        <w:t>10线</w:t>
      </w:r>
      <w:r>
        <w:rPr>
          <w:shd w:val="clear" w:fill="F5F5FE"/>
        </w:rPr>
        <w:t>、</w:t>
      </w:r>
      <w:r>
        <w:rPr>
          <w:rFonts w:hint="eastAsia"/>
          <w:shd w:val="clear" w:fill="F5F5FE"/>
          <w:lang w:val="en-US" w:eastAsia="zh-CN"/>
        </w:rPr>
        <w:t>11线</w:t>
      </w:r>
      <w:r>
        <w:rPr>
          <w:shd w:val="clear" w:fill="F5F5FE"/>
        </w:rPr>
        <w:t>、</w:t>
      </w:r>
      <w:r>
        <w:rPr>
          <w:rFonts w:hint="eastAsia"/>
          <w:shd w:val="clear" w:fill="F5F5FE"/>
          <w:lang w:val="en-US" w:eastAsia="zh-CN"/>
        </w:rPr>
        <w:t>12线、38线到开发区财局站下车，16线、31线开发区管委会站下车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5FE"/>
        <w:spacing w:before="0" w:beforeAutospacing="0" w:after="0" w:afterAutospacing="0"/>
        <w:ind w:left="0" w:right="0"/>
        <w:jc w:val="left"/>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rPr>
        <w:t>咨询、投诉、</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6" w:leftChars="0" w:right="0" w:rightChars="0"/>
        <w:rPr>
          <w:rFonts w:hint="eastAsia" w:ascii="宋体" w:hAnsi="宋体" w:eastAsia="宋体" w:cs="宋体"/>
          <w:b/>
          <w:sz w:val="21"/>
          <w:szCs w:val="21"/>
        </w:rPr>
      </w:pPr>
      <w:r>
        <w:rPr>
          <w:rFonts w:hint="eastAsia" w:ascii="宋体" w:hAnsi="宋体" w:eastAsia="宋体" w:cs="宋体"/>
          <w:b/>
          <w:i w:val="0"/>
          <w:caps w:val="0"/>
          <w:color w:val="000000"/>
          <w:spacing w:val="0"/>
          <w:sz w:val="21"/>
          <w:szCs w:val="21"/>
        </w:rPr>
        <w:t>申请人可通过电话、窗口等方式进行咨询和许可进程查询。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0" w:afterAutospacing="0" w:line="375" w:lineRule="atLeast"/>
        <w:ind w:left="76" w:right="0"/>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rPr>
        <w:t>可电话查询（0759-2929010）或窗口查询。</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6" w:leftChars="0" w:right="0" w:rightChars="0"/>
        <w:rPr>
          <w:rFonts w:hint="eastAsia" w:ascii="宋体" w:hAnsi="宋体" w:eastAsia="宋体" w:cs="宋体"/>
          <w:b/>
          <w:sz w:val="21"/>
          <w:szCs w:val="21"/>
        </w:rPr>
      </w:pPr>
      <w:r>
        <w:rPr>
          <w:rFonts w:hint="eastAsia" w:ascii="宋体" w:hAnsi="宋体" w:eastAsia="宋体" w:cs="宋体"/>
          <w:b/>
          <w:i w:val="0"/>
          <w:caps w:val="0"/>
          <w:color w:val="000000"/>
          <w:spacing w:val="0"/>
          <w:sz w:val="21"/>
          <w:szCs w:val="21"/>
        </w:rPr>
        <w:t>申请人可通过电话、窗口等方式进行投诉。</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收费标准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按有关部门标准收费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常见问题解答</w:t>
      </w:r>
      <w:r>
        <w:rPr>
          <w:rFonts w:hint="eastAsia" w:ascii="宋体" w:hAnsi="宋体" w:eastAsia="宋体" w:cs="宋体"/>
          <w:color w:val="008000"/>
          <w:sz w:val="27"/>
          <w:szCs w:val="27"/>
          <w:shd w:val="clear" w:fill="F5F5FE"/>
        </w:rPr>
        <w:fldChar w:fldCharType="begin"/>
      </w:r>
      <w:r>
        <w:rPr>
          <w:rFonts w:hint="eastAsia" w:ascii="宋体" w:hAnsi="宋体" w:eastAsia="宋体" w:cs="宋体"/>
          <w:color w:val="008000"/>
          <w:sz w:val="27"/>
          <w:szCs w:val="27"/>
          <w:shd w:val="clear" w:fill="F5F5FE"/>
        </w:rPr>
        <w:instrText xml:space="preserve">INCLUDEPICTURE \d "http://www.zjwsbs.gov.cn/portal/view/common/images/ckcjwt.png" \* MERGEFORMATINET </w:instrText>
      </w:r>
      <w:r>
        <w:rPr>
          <w:rFonts w:hint="eastAsia" w:ascii="宋体" w:hAnsi="宋体" w:eastAsia="宋体" w:cs="宋体"/>
          <w:color w:val="008000"/>
          <w:sz w:val="27"/>
          <w:szCs w:val="27"/>
          <w:shd w:val="clear" w:fill="F5F5FE"/>
        </w:rPr>
        <w:fldChar w:fldCharType="separate"/>
      </w:r>
      <w:r>
        <w:rPr>
          <w:rFonts w:hint="eastAsia" w:ascii="宋体" w:hAnsi="宋体" w:eastAsia="宋体" w:cs="宋体"/>
          <w:color w:val="008000"/>
          <w:sz w:val="27"/>
          <w:szCs w:val="27"/>
          <w:shd w:val="clear" w:fill="F5F5FE"/>
        </w:rPr>
        <w:drawing>
          <wp:inline distT="0" distB="0" distL="114300" distR="114300">
            <wp:extent cx="1038225" cy="200025"/>
            <wp:effectExtent l="0" t="0" r="9525" b="952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5"/>
                    <a:stretch>
                      <a:fillRect/>
                    </a:stretch>
                  </pic:blipFill>
                  <pic:spPr>
                    <a:xfrm>
                      <a:off x="0" y="0"/>
                      <a:ext cx="1038225" cy="200025"/>
                    </a:xfrm>
                    <a:prstGeom prst="rect">
                      <a:avLst/>
                    </a:prstGeom>
                    <a:noFill/>
                    <a:ln w="9525">
                      <a:noFill/>
                    </a:ln>
                  </pic:spPr>
                </pic:pic>
              </a:graphicData>
            </a:graphic>
          </wp:inline>
        </w:drawing>
      </w:r>
      <w:r>
        <w:rPr>
          <w:rFonts w:hint="eastAsia" w:ascii="宋体" w:hAnsi="宋体" w:eastAsia="宋体" w:cs="宋体"/>
          <w:color w:val="008000"/>
          <w:sz w:val="27"/>
          <w:szCs w:val="27"/>
          <w:shd w:val="clear" w:fill="F5F5FE"/>
        </w:rPr>
        <w:fldChar w:fldCharType="end"/>
      </w:r>
      <w:r>
        <w:rPr>
          <w:rFonts w:hint="eastAsia" w:ascii="宋体" w:hAnsi="宋体" w:eastAsia="宋体" w:cs="宋体"/>
          <w:color w:val="008000"/>
          <w:sz w:val="27"/>
          <w:szCs w:val="27"/>
          <w:shd w:val="clear" w:fill="F5F5F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主管部门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lang w:eastAsia="zh-CN"/>
        </w:rPr>
        <w:t>开发区</w:t>
      </w:r>
      <w:r>
        <w:rPr>
          <w:rFonts w:hint="eastAsia" w:ascii="宋体" w:hAnsi="宋体" w:eastAsia="宋体" w:cs="宋体"/>
          <w:sz w:val="24"/>
          <w:szCs w:val="24"/>
          <w:shd w:val="clear" w:fill="F5F5FE"/>
        </w:rPr>
        <w:t xml:space="preserve">食品药品监管局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受理机构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lang w:eastAsia="zh-CN"/>
        </w:rPr>
        <w:t>开发区</w:t>
      </w:r>
      <w:r>
        <w:rPr>
          <w:rFonts w:hint="eastAsia" w:ascii="宋体" w:hAnsi="宋体" w:eastAsia="宋体" w:cs="宋体"/>
          <w:sz w:val="24"/>
          <w:szCs w:val="24"/>
          <w:shd w:val="clear" w:fill="F5F5FE"/>
        </w:rPr>
        <w:t xml:space="preserve">食品药品监管局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表格下载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"http://www.zjwsbs.gov.cn/portal/serviceAttachmentAction.action?method=downFile&amp;attachmentId=bfd647ab2e9c40568a5b984f8ee810ab"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零售认证申请书（药品零售企业版）.doc</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"http://www.zjwsbs.gov.cn/portal/serviceAttachmentAction.action?method=downFile&amp;attachmentId=a0eaa5e7945a4b1cb33a226a092da0a7"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零售认证申请书（药品零售企业版）.doc</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办理依据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（1）《</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"http://www.zjwsbs.gov.cn/portal/serviceAttachmentAction.action?method=downFile&amp;attachmentId=990998207A284FB698F2E4F5EBAB1FE8"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中华人民共和国药品管理法</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》及其《实施条例》；</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（2）《</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"http://www.zjwsbs.gov.cn/portal/serviceAttachmentAction.action?method=downFile&amp;attachmentId=7E2D4C331F97453EA56C7745B7F2609F"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药品经营质量管理规范</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》及其《实施细则》；</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（3）</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"http://www.zjwsbs.gov.cn/portal/serviceAttachmentAction.action?method=downFile&amp;attachmentId=7E2D4C331F97453EA56C7745B7F2609F"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药品经营质量管理规范</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（GSP）认证管理办法（试行）（国药管市[2000]527号）；</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（4）广东省</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"http://www.zjwsbs.gov.cn/portal/serviceAttachmentAction.action?method=downFile&amp;attachmentId=7E2D4C331F97453EA56C7745B7F2609F"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药品经营质量管理规范</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（GSP）认证管理办法（试行）（粤药监办[2003]27号）；</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（5）关于开展药品零售企业GSP认证工作的通知（粤药监通[2003]275号）；</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（6）关于开展药品零售企业GSP认证工作的补充通知（粤药监通[2003]350号）及其附件“广东省药品零售企业GSP认证程序”；</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（7）《</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"http://www.zjwsbs.gov.cn/portal/serviceAttachmentAction.action?method=downFile&amp;attachmentId=5C47B03B49EE4284A4026C5913B6D738" </w:instrText>
      </w:r>
      <w:r>
        <w:rPr>
          <w:rFonts w:hint="eastAsia" w:ascii="宋体" w:hAnsi="宋体" w:eastAsia="宋体" w:cs="宋体"/>
          <w:color w:val="6688CC"/>
          <w:sz w:val="24"/>
          <w:szCs w:val="24"/>
          <w:u w:val="none"/>
          <w:shd w:val="clear" w:fill="F5F5FE"/>
        </w:rPr>
        <w:fldChar w:fldCharType="separate"/>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"http://www.zjwsbs.gov.cn/portal/serviceAttachmentAction.action?method=downFile&amp;attachmentId=5B0CA52D8E4F4D909D1E071C3BB4B1C5" </w:instrText>
      </w:r>
      <w:r>
        <w:rPr>
          <w:rFonts w:hint="eastAsia" w:ascii="宋体" w:hAnsi="宋体" w:eastAsia="宋体" w:cs="宋体"/>
          <w:color w:val="6688CC"/>
          <w:sz w:val="24"/>
          <w:szCs w:val="24"/>
          <w:u w:val="none"/>
          <w:shd w:val="clear" w:fill="F5F5FE"/>
        </w:rPr>
        <w:fldChar w:fldCharType="separate"/>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"http://www.zjwsbs.gov.cn/portal/serviceAttachmentAction.action?method=downFile&amp;attachmentId=A8DF698300344123BAEBD9AC6003920E" </w:instrText>
      </w:r>
      <w:r>
        <w:rPr>
          <w:rFonts w:hint="eastAsia" w:ascii="宋体" w:hAnsi="宋体" w:eastAsia="宋体" w:cs="宋体"/>
          <w:color w:val="6688CC"/>
          <w:sz w:val="24"/>
          <w:szCs w:val="24"/>
          <w:u w:val="none"/>
          <w:shd w:val="clear" w:fill="F5F5FE"/>
        </w:rPr>
        <w:fldChar w:fldCharType="separate"/>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"http://www.zjwsbs.gov.cn/portal/serviceAttachmentAction.action?method=downFile&amp;attachmentId=D945227A71F246F594A64BE9AAE07D53" </w:instrText>
      </w:r>
      <w:r>
        <w:rPr>
          <w:rFonts w:hint="eastAsia" w:ascii="宋体" w:hAnsi="宋体" w:eastAsia="宋体" w:cs="宋体"/>
          <w:color w:val="6688CC"/>
          <w:sz w:val="24"/>
          <w:szCs w:val="24"/>
          <w:u w:val="none"/>
          <w:shd w:val="clear" w:fill="F5F5FE"/>
        </w:rPr>
        <w:fldChar w:fldCharType="separate"/>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"http://www.zjwsbs.gov.cn/portal/serviceAttachmentAction.action?method=downFile&amp;attachmentId=D493CC96A18943938F12404673FDB776"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关于做好广东省药学技术人员管理工作的通知</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》（粤食药监人〔2009〕119号）；</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（8）《</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"http://www.zjwsbs.gov.cn/portal/serviceAttachmentAction.action?method=downFile&amp;attachmentId=20F25332B5AD480CA908B07D36561301"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国务院关于第六批取消和调整行政审批项目的决定</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》（国发〔2012〕52号）；</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（9）《</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"http://www.zjwsbs.gov.cn/portal/serviceAttachmentAction.action?method=downFile&amp;attachmentId=A4F8DFA5AB7A43AE93FF90E80EF3A335"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国家食品药品监督管理局关于落实国务院决定做好第六批取消调整行政审批项目后续监管和衔接工作的通知</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》（国食药监法〔2012〕323号）；</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（10）省局《</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"http://www.zjwsbs.gov.cn/portal/serviceAttachmentAction.action?method=downFile&amp;attachmentId=666DF318B8454D3B926843DEBC796FBC"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关于做好药品零售企业〈</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"http://www.zjwsbs.gov.cn/portal/serviceAttachmentAction.action?method=downFile&amp;attachmentId=7E2D4C331F97453EA56C7745B7F2609F"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药品经营质量管理规范</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color w:val="6688CC"/>
          <w:sz w:val="24"/>
          <w:szCs w:val="24"/>
          <w:u w:val="none"/>
          <w:shd w:val="clear" w:fill="F5F5FE"/>
        </w:rPr>
        <w:t>〉认证管理工作的通知</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 xml:space="preserve">》(食药监办〔2013〕81号)。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备注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无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D906C2"/>
    <w:rsid w:val="14563AB8"/>
    <w:rsid w:val="21236368"/>
    <w:rsid w:val="23221775"/>
    <w:rsid w:val="421D1B03"/>
    <w:rsid w:val="5DA31FA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6688CC"/>
      <w:u w:val="none"/>
    </w:rPr>
  </w:style>
  <w:style w:type="character" w:styleId="6">
    <w:name w:val="Emphasis"/>
    <w:basedOn w:val="4"/>
    <w:qFormat/>
    <w:uiPriority w:val="0"/>
  </w:style>
  <w:style w:type="character" w:styleId="7">
    <w:name w:val="HTML Definition"/>
    <w:basedOn w:val="4"/>
    <w:uiPriority w:val="0"/>
  </w:style>
  <w:style w:type="character" w:styleId="8">
    <w:name w:val="HTML Variable"/>
    <w:basedOn w:val="4"/>
    <w:uiPriority w:val="0"/>
  </w:style>
  <w:style w:type="character" w:styleId="9">
    <w:name w:val="Hyperlink"/>
    <w:basedOn w:val="4"/>
    <w:uiPriority w:val="0"/>
    <w:rPr>
      <w:color w:val="6688CC"/>
      <w:u w:val="none"/>
    </w:rPr>
  </w:style>
  <w:style w:type="character" w:styleId="10">
    <w:name w:val="HTML Code"/>
    <w:basedOn w:val="4"/>
    <w:qFormat/>
    <w:uiPriority w:val="0"/>
    <w:rPr>
      <w:rFonts w:ascii="Courier New" w:hAnsi="Courier New"/>
      <w:sz w:val="20"/>
    </w:rPr>
  </w:style>
  <w:style w:type="character" w:styleId="11">
    <w:name w:val="HTML Cite"/>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2017-03-23T03:28:29Z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