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333343" w:sz="12" w:space="0"/>
          <w:right w:val="none" w:color="auto" w:sz="0" w:space="0"/>
        </w:pBdr>
        <w:shd w:val="clear" w:fill="EEEEEE"/>
        <w:spacing w:before="0" w:beforeAutospacing="0" w:after="0" w:afterAutospacing="0" w:line="37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EEEEEE"/>
          <w:lang w:val="en-US" w:eastAsia="zh-CN" w:bidi="ar"/>
        </w:rPr>
        <w:t>广东省行政许可事项标准 (事项编码: )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300" w:right="0"/>
        <w:jc w:val="left"/>
        <w:rPr>
          <w:color w:val="4090DC"/>
          <w:sz w:val="30"/>
          <w:szCs w:val="30"/>
        </w:rPr>
      </w:pPr>
      <w:r>
        <w:rPr>
          <w:color w:val="4090DC"/>
          <w:sz w:val="30"/>
          <w:szCs w:val="30"/>
          <w:shd w:val="clear" w:fill="FEFEFE"/>
        </w:rPr>
        <w:t>《药品经营许可证》（零售）申办（筹建）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 w:firstLine="0"/>
        <w:jc w:val="both"/>
        <w:rPr>
          <w:rFonts w:ascii="黑体" w:eastAsia="黑体" w:cs="黑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开发区食品药品监督管理局      2015－2－1 发布      2015－2－1 实施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90" w:afterAutospacing="0" w:line="390" w:lineRule="atLeast"/>
        <w:ind w:left="0" w:right="0"/>
        <w:jc w:val="left"/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</w:pPr>
      <w:r>
        <w:rPr>
          <w:rFonts w:ascii="黑体" w:eastAsia="黑体" w:cs="黑体"/>
          <w:b w:val="0"/>
          <w:i w:val="0"/>
          <w:caps w:val="0"/>
          <w:color w:val="92D050"/>
          <w:spacing w:val="0"/>
          <w:sz w:val="24"/>
          <w:szCs w:val="24"/>
        </w:rPr>
        <w:pict>
          <v:rect id="_x0000_i1025" o:spt="1" style="height:1.5pt;width:432pt;" fillcolor="#00000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90" w:afterAutospacing="0" w:line="390" w:lineRule="atLeast"/>
        <w:ind w:left="0" w:right="0"/>
        <w:jc w:val="left"/>
        <w:rPr>
          <w:rFonts w:hint="eastAsia" w:ascii="宋体" w:hAnsi="宋体" w:eastAsia="宋体" w:cs="宋体"/>
          <w:color w:val="008000"/>
          <w:sz w:val="27"/>
          <w:szCs w:val="27"/>
        </w:rPr>
      </w:pP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t xml:space="preserve">办理对象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5F5FE"/>
        </w:rPr>
        <w:t xml:space="preserve">企业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90" w:afterAutospacing="0" w:line="390" w:lineRule="atLeast"/>
        <w:ind w:left="0" w:right="0"/>
        <w:jc w:val="left"/>
        <w:rPr>
          <w:rFonts w:hint="eastAsia" w:ascii="宋体" w:hAnsi="宋体" w:eastAsia="宋体" w:cs="宋体"/>
          <w:color w:val="008000"/>
          <w:sz w:val="27"/>
          <w:szCs w:val="27"/>
        </w:rPr>
      </w:pP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t xml:space="preserve">办理条件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5F5FE"/>
        </w:rPr>
        <w:t>1）企业法定代表人或企业负责人、质量管理负责人无《药品管理法》第76条、第83条规定的情形；</w:t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>（2）具有依法经过认定的药学技术人员；</w:t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>（3）具有与经营药品相适应的营业场所、设备、仓储设施、卫生环境；</w:t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>（4）具有保证所经营药品质量的规章制度；</w:t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>（5）具有与经营药品相适应的质量管理机构或人员；</w:t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 xml:space="preserve">（6）符合《药品经营许可证管理办法》、《广东省开办药品零售企业验收实施标准》和《湛江市农村开办药品零售企业验收实施标准》和《湛江市开办经营乙类非处方药的药品零售企业验收实施标准》的要求。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90" w:afterAutospacing="0" w:line="390" w:lineRule="atLeast"/>
        <w:ind w:left="0" w:right="0"/>
        <w:jc w:val="left"/>
        <w:rPr>
          <w:rFonts w:hint="eastAsia" w:ascii="宋体" w:hAnsi="宋体" w:eastAsia="宋体" w:cs="宋体"/>
          <w:color w:val="008000"/>
          <w:sz w:val="27"/>
          <w:szCs w:val="27"/>
        </w:rPr>
      </w:pP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t xml:space="preserve">所需材料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5F5FE"/>
        </w:rPr>
        <w:t>（1）药品零售企业筹建申请表（一份）；</w:t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>（2）工商行政管理部门出具的拟办企业核准证明文件或营业执照原件、复印件（《药品管理法》对药品经营企业的经营方式划分为零售和批发；</w:t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>（3）拟办企业所有从业人员聘书、学历、岗位证明、职称（或资格证书）、注册证明、区级以上医院出具的健康证明（有效期内）原件、复印件；</w:t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>（4）经营场所、仓库房屋产权或使用权证明原件、复印件；</w:t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 xml:space="preserve">（5）选址的地理位置图（需标明方向、附近主干道、街道、标志性建筑或明显地理特征）。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90" w:afterAutospacing="0" w:line="390" w:lineRule="atLeast"/>
        <w:ind w:left="0" w:right="0"/>
        <w:jc w:val="left"/>
        <w:rPr>
          <w:rFonts w:hint="eastAsia" w:ascii="宋体" w:hAnsi="宋体" w:eastAsia="宋体" w:cs="宋体"/>
          <w:color w:val="008000"/>
          <w:sz w:val="27"/>
          <w:szCs w:val="27"/>
        </w:rPr>
      </w:pP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t xml:space="preserve">窗口办理流程 </w:t>
      </w: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fldChar w:fldCharType="begin"/>
      </w: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instrText xml:space="preserve">INCLUDEPICTURE \d "http://xsbs.zjwsbs.gov.cn/portal/view/common/images/untitled.png" \* MERGEFORMATINET </w:instrText>
      </w: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fldChar w:fldCharType="separate"/>
      </w: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drawing>
          <wp:inline distT="0" distB="0" distL="114300" distR="114300">
            <wp:extent cx="990600" cy="190500"/>
            <wp:effectExtent l="0" t="0" r="0" b="0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5F5FE"/>
        </w:rPr>
        <w:t>申办：申请人在实体大厅申请并递交材料</w:t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>受理：</w:t>
      </w:r>
      <w:r>
        <w:rPr>
          <w:rFonts w:hint="eastAsia" w:ascii="宋体" w:hAnsi="宋体" w:eastAsia="宋体" w:cs="宋体"/>
          <w:sz w:val="24"/>
          <w:szCs w:val="24"/>
          <w:shd w:val="clear" w:fill="F5F5FE"/>
          <w:lang w:eastAsia="zh-CN"/>
        </w:rPr>
        <w:t>开发区</w:t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>食品药品监管局窗口审查资料，对资料齐全并符合受理条件的进行受理</w:t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>办理：业务科室和分管领导在承诺时间内进行资料及现场审查、审批</w:t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>办结：申请人到</w:t>
      </w:r>
      <w:r>
        <w:rPr>
          <w:rFonts w:hint="eastAsia" w:ascii="宋体" w:hAnsi="宋体" w:eastAsia="宋体" w:cs="宋体"/>
          <w:sz w:val="24"/>
          <w:szCs w:val="24"/>
          <w:shd w:val="clear" w:fill="F5F5FE"/>
          <w:lang w:eastAsia="zh-CN"/>
        </w:rPr>
        <w:t>开发区</w:t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 xml:space="preserve">食品药品监管局窗口领取相关证件或文件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90" w:afterAutospacing="0" w:line="390" w:lineRule="atLeast"/>
        <w:ind w:left="0" w:right="0"/>
        <w:jc w:val="left"/>
        <w:rPr>
          <w:rFonts w:hint="eastAsia" w:ascii="宋体" w:hAnsi="宋体" w:eastAsia="宋体" w:cs="宋体"/>
          <w:color w:val="008000"/>
          <w:sz w:val="27"/>
          <w:szCs w:val="27"/>
        </w:rPr>
      </w:pP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t xml:space="preserve">办理时限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5F5FE"/>
        </w:rPr>
        <w:t xml:space="preserve">法定时限说明： 20个工作日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5F5FE"/>
        </w:rPr>
        <w:t xml:space="preserve">承诺时限说明： 20个工作日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90" w:afterAutospacing="0" w:line="390" w:lineRule="atLeast"/>
        <w:ind w:left="0" w:right="0"/>
        <w:jc w:val="left"/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</w:pP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t xml:space="preserve">办事窗口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90" w:afterAutospacing="0" w:line="390" w:lineRule="atLeast"/>
        <w:ind w:left="0" w:right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湛江经济技术开发区行政服务中心食品药品监督管理局窗口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窗口地址：湛江经济技术开发区人民大道中42号泰华大厦一楼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窗口电话：0759-2929010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5FE"/>
        <w:spacing w:before="0" w:beforeAutospacing="0" w:after="0" w:afterAutospacing="0"/>
        <w:ind w:left="0" w:right="0"/>
        <w:jc w:val="left"/>
        <w:rPr>
          <w:sz w:val="21"/>
          <w:szCs w:val="21"/>
          <w:shd w:val="clear" w:fill="F5F5FE"/>
        </w:rPr>
      </w:pPr>
      <w:r>
        <w:rPr>
          <w:rFonts w:hint="eastAsia"/>
          <w:sz w:val="21"/>
          <w:szCs w:val="21"/>
          <w:shd w:val="clear" w:fill="F5F5FE"/>
          <w:lang w:eastAsia="zh-CN"/>
        </w:rPr>
        <w:t>工作时间：</w:t>
      </w:r>
      <w:r>
        <w:rPr>
          <w:sz w:val="21"/>
          <w:szCs w:val="21"/>
          <w:shd w:val="clear" w:fill="F5F5FE"/>
        </w:rPr>
        <w:t>周一至周五上午8:</w:t>
      </w:r>
      <w:r>
        <w:rPr>
          <w:rFonts w:hint="eastAsia"/>
          <w:sz w:val="21"/>
          <w:szCs w:val="21"/>
          <w:shd w:val="clear" w:fill="F5F5FE"/>
          <w:lang w:val="en-US" w:eastAsia="zh-CN"/>
        </w:rPr>
        <w:t>30</w:t>
      </w:r>
      <w:r>
        <w:rPr>
          <w:sz w:val="21"/>
          <w:szCs w:val="21"/>
          <w:shd w:val="clear" w:fill="F5F5FE"/>
        </w:rPr>
        <w:t>至1</w:t>
      </w:r>
      <w:r>
        <w:rPr>
          <w:rFonts w:hint="eastAsia"/>
          <w:sz w:val="21"/>
          <w:szCs w:val="21"/>
          <w:shd w:val="clear" w:fill="F5F5FE"/>
          <w:lang w:val="en-US" w:eastAsia="zh-CN"/>
        </w:rPr>
        <w:t>2</w:t>
      </w:r>
      <w:r>
        <w:rPr>
          <w:sz w:val="21"/>
          <w:szCs w:val="21"/>
          <w:shd w:val="clear" w:fill="F5F5FE"/>
        </w:rPr>
        <w:t>:</w:t>
      </w:r>
      <w:r>
        <w:rPr>
          <w:rFonts w:hint="eastAsia"/>
          <w:sz w:val="21"/>
          <w:szCs w:val="21"/>
          <w:shd w:val="clear" w:fill="F5F5FE"/>
          <w:lang w:val="en-US" w:eastAsia="zh-CN"/>
        </w:rPr>
        <w:t>00</w:t>
      </w:r>
      <w:r>
        <w:rPr>
          <w:sz w:val="21"/>
          <w:szCs w:val="21"/>
          <w:shd w:val="clear" w:fill="F5F5FE"/>
        </w:rPr>
        <w:t>下午14:</w:t>
      </w:r>
      <w:r>
        <w:rPr>
          <w:rFonts w:hint="eastAsia"/>
          <w:sz w:val="21"/>
          <w:szCs w:val="21"/>
          <w:shd w:val="clear" w:fill="F5F5FE"/>
          <w:lang w:val="en-US" w:eastAsia="zh-CN"/>
        </w:rPr>
        <w:t>3</w:t>
      </w:r>
      <w:r>
        <w:rPr>
          <w:sz w:val="21"/>
          <w:szCs w:val="21"/>
          <w:shd w:val="clear" w:fill="F5F5FE"/>
        </w:rPr>
        <w:t>0至1</w:t>
      </w:r>
      <w:r>
        <w:rPr>
          <w:rFonts w:hint="eastAsia"/>
          <w:sz w:val="21"/>
          <w:szCs w:val="21"/>
          <w:shd w:val="clear" w:fill="F5F5FE"/>
          <w:lang w:val="en-US" w:eastAsia="zh-CN"/>
        </w:rPr>
        <w:t>8</w:t>
      </w:r>
      <w:r>
        <w:rPr>
          <w:sz w:val="21"/>
          <w:szCs w:val="21"/>
          <w:shd w:val="clear" w:fill="F5F5FE"/>
        </w:rPr>
        <w:t>:</w:t>
      </w:r>
      <w:r>
        <w:rPr>
          <w:rFonts w:hint="eastAsia"/>
          <w:sz w:val="21"/>
          <w:szCs w:val="21"/>
          <w:shd w:val="clear" w:fill="F5F5FE"/>
          <w:lang w:val="en-US" w:eastAsia="zh-CN"/>
        </w:rPr>
        <w:t>00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right="0" w:rightChars="0"/>
        <w:rPr>
          <w:rFonts w:hint="eastAsia" w:ascii="宋体" w:hAnsi="宋体" w:eastAsia="宋体" w:cs="宋体"/>
          <w:b/>
          <w:sz w:val="21"/>
          <w:szCs w:val="21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5FE"/>
        <w:spacing w:before="0" w:beforeAutospacing="0" w:after="0" w:afterAutospacing="0"/>
        <w:ind w:left="0" w:right="0"/>
        <w:jc w:val="left"/>
        <w:rPr>
          <w:b/>
          <w:bCs/>
          <w:color w:val="70AD47" w:themeColor="accent6"/>
          <w14:textFill>
            <w14:solidFill>
              <w14:schemeClr w14:val="accent6"/>
            </w14:solidFill>
          </w14:textFill>
        </w:rPr>
      </w:pPr>
      <w:r>
        <w:rPr>
          <w:rFonts w:ascii="宋体" w:hAnsi="宋体" w:eastAsia="宋体" w:cs="宋体"/>
          <w:b/>
          <w:bCs/>
          <w:color w:val="70AD47" w:themeColor="accent6"/>
          <w:kern w:val="0"/>
          <w:sz w:val="24"/>
          <w:szCs w:val="24"/>
          <w:shd w:val="clear" w:fill="F5F5FE"/>
          <w:lang w:val="en-US" w:eastAsia="zh-CN" w:bidi="ar"/>
          <w14:textFill>
            <w14:solidFill>
              <w14:schemeClr w14:val="accent6"/>
            </w14:solidFill>
          </w14:textFill>
        </w:rPr>
        <w:t xml:space="preserve">交通指引: 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/>
          <w:shd w:val="clear" w:fill="F5F5FE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sz w:val="27"/>
          <w:szCs w:val="27"/>
          <w:shd w:val="clear" w:fill="F5F5FE"/>
          <w:lang w:eastAsia="zh-CN"/>
          <w14:textFill>
            <w14:solidFill>
              <w14:schemeClr w14:val="tx1"/>
            </w14:solidFill>
          </w14:textFill>
        </w:rPr>
        <w:t>乖搭公交车</w:t>
      </w:r>
      <w:r>
        <w:rPr>
          <w:rFonts w:hint="eastAsia" w:ascii="宋体" w:hAnsi="宋体" w:eastAsia="宋体" w:cs="宋体"/>
          <w:color w:val="000000" w:themeColor="text1"/>
          <w:sz w:val="27"/>
          <w:szCs w:val="27"/>
          <w:shd w:val="clear" w:fill="F5F5FE"/>
          <w:lang w:val="en-US" w:eastAsia="zh-CN"/>
          <w14:textFill>
            <w14:solidFill>
              <w14:schemeClr w14:val="tx1"/>
            </w14:solidFill>
          </w14:textFill>
        </w:rPr>
        <w:t>5线</w:t>
      </w:r>
      <w:r>
        <w:rPr>
          <w:shd w:val="clear" w:fill="F5F5FE"/>
        </w:rPr>
        <w:t>、</w:t>
      </w:r>
      <w:r>
        <w:rPr>
          <w:rFonts w:hint="eastAsia"/>
          <w:shd w:val="clear" w:fill="F5F5FE"/>
          <w:lang w:val="en-US" w:eastAsia="zh-CN"/>
        </w:rPr>
        <w:t>10线</w:t>
      </w:r>
      <w:r>
        <w:rPr>
          <w:shd w:val="clear" w:fill="F5F5FE"/>
        </w:rPr>
        <w:t>、</w:t>
      </w:r>
      <w:r>
        <w:rPr>
          <w:rFonts w:hint="eastAsia"/>
          <w:shd w:val="clear" w:fill="F5F5FE"/>
          <w:lang w:val="en-US" w:eastAsia="zh-CN"/>
        </w:rPr>
        <w:t>11线</w:t>
      </w:r>
      <w:r>
        <w:rPr>
          <w:shd w:val="clear" w:fill="F5F5FE"/>
        </w:rPr>
        <w:t>、</w:t>
      </w:r>
      <w:r>
        <w:rPr>
          <w:rFonts w:hint="eastAsia"/>
          <w:shd w:val="clear" w:fill="F5F5FE"/>
          <w:lang w:val="en-US" w:eastAsia="zh-CN"/>
        </w:rPr>
        <w:t>12线、38线到开发区财局站下车，16线、31线开发区管委会站下车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5FE"/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</w:rPr>
        <w:t>咨询、投诉、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16" w:leftChars="0" w:right="0" w:rightChars="0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</w:rPr>
        <w:t>申请人可通过电话、窗口等方式进行咨询和许可进程查询。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0" w:afterAutospacing="0" w:line="375" w:lineRule="atLeast"/>
        <w:ind w:left="76" w:right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可电话查询（0759-2929010）或窗口查询。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16" w:leftChars="0" w:right="0" w:rightChars="0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</w:rPr>
        <w:t>申请人可通过电话、窗口等方式进行投诉。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0" w:afterAutospacing="0" w:line="375" w:lineRule="atLeast"/>
        <w:ind w:left="76" w:right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可电话投诉（0759-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lang w:val="en-US" w:eastAsia="zh-CN"/>
        </w:rPr>
        <w:t>12345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、0759-2929010）或窗口投诉。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90" w:afterAutospacing="0" w:line="390" w:lineRule="atLeast"/>
        <w:ind w:left="0" w:right="0"/>
        <w:jc w:val="left"/>
        <w:rPr>
          <w:rFonts w:hint="eastAsia" w:ascii="宋体" w:hAnsi="宋体" w:eastAsia="宋体" w:cs="宋体"/>
          <w:color w:val="008000"/>
          <w:sz w:val="27"/>
          <w:szCs w:val="27"/>
        </w:rPr>
      </w:pP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t xml:space="preserve">收费标准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5F5FE"/>
        </w:rPr>
        <w:t xml:space="preserve">不收费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90" w:afterAutospacing="0" w:line="390" w:lineRule="atLeast"/>
        <w:ind w:left="0" w:right="0"/>
        <w:jc w:val="left"/>
        <w:rPr>
          <w:rFonts w:hint="eastAsia" w:ascii="宋体" w:hAnsi="宋体" w:eastAsia="宋体" w:cs="宋体"/>
          <w:color w:val="008000"/>
          <w:sz w:val="27"/>
          <w:szCs w:val="27"/>
        </w:rPr>
      </w:pP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t>常见问题解答</w:t>
      </w: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fldChar w:fldCharType="begin"/>
      </w: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instrText xml:space="preserve">INCLUDEPICTURE \d "http://xsbs.zjwsbs.gov.cn/portal/view/common/images/ckcjwt.png" \* MERGEFORMATINET </w:instrText>
      </w: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fldChar w:fldCharType="separate"/>
      </w: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drawing>
          <wp:inline distT="0" distB="0" distL="114300" distR="114300">
            <wp:extent cx="1038225" cy="200025"/>
            <wp:effectExtent l="0" t="0" r="9525" b="9525"/>
            <wp:docPr id="6" name="图片 6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5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fldChar w:fldCharType="end"/>
      </w: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90" w:afterAutospacing="0" w:line="390" w:lineRule="atLeast"/>
        <w:ind w:left="0" w:right="0"/>
        <w:jc w:val="left"/>
        <w:rPr>
          <w:rFonts w:hint="eastAsia" w:ascii="宋体" w:hAnsi="宋体" w:eastAsia="宋体" w:cs="宋体"/>
          <w:color w:val="008000"/>
          <w:sz w:val="27"/>
          <w:szCs w:val="27"/>
        </w:rPr>
      </w:pP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t xml:space="preserve">主管部门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5F5FE"/>
          <w:lang w:eastAsia="zh-CN"/>
        </w:rPr>
        <w:t>开发</w:t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 xml:space="preserve">区食品药品监督管理局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90" w:afterAutospacing="0" w:line="390" w:lineRule="atLeast"/>
        <w:ind w:left="0" w:right="0"/>
        <w:jc w:val="left"/>
        <w:rPr>
          <w:rFonts w:hint="eastAsia" w:ascii="宋体" w:hAnsi="宋体" w:eastAsia="宋体" w:cs="宋体"/>
          <w:color w:val="008000"/>
          <w:sz w:val="27"/>
          <w:szCs w:val="27"/>
        </w:rPr>
      </w:pP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t xml:space="preserve">受理机构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5F5FE"/>
          <w:lang w:eastAsia="zh-CN"/>
        </w:rPr>
        <w:t>开发</w:t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 xml:space="preserve">区食品药品监督管理局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90" w:afterAutospacing="0" w:line="390" w:lineRule="atLeast"/>
        <w:ind w:left="0" w:right="0"/>
        <w:jc w:val="left"/>
        <w:rPr>
          <w:rFonts w:hint="eastAsia" w:ascii="宋体" w:hAnsi="宋体" w:eastAsia="宋体" w:cs="宋体"/>
          <w:color w:val="008000"/>
          <w:sz w:val="27"/>
          <w:szCs w:val="27"/>
        </w:rPr>
      </w:pP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t xml:space="preserve">表格下载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begin"/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instrText xml:space="preserve"> HYPERLINK "http://www.zjwsbs.gov.cn/portal/serviceAttachmentAction.action?method=downFile&amp;attachmentId=4b918ed0a21d440fbbf371a90ea487fb" </w:instrTex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separate"/>
      </w:r>
      <w:r>
        <w:rPr>
          <w:rStyle w:val="9"/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t>窗口办理流程.jpg</w: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begin"/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instrText xml:space="preserve"> HYPERLINK "http://www.zjwsbs.gov.cn/portal/serviceAttachmentAction.action?method=downFile&amp;attachmentId=85544ef06dee4378b349d1e2a352f24b" </w:instrTex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separate"/>
      </w:r>
      <w:r>
        <w:rPr>
          <w:rStyle w:val="9"/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t>网上办理流程.jpg</w: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begin"/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instrText xml:space="preserve"> HYPERLINK "http://www.zjwsbs.gov.cn/portal/serviceAttachmentAction.action?method=downFile&amp;attachmentId=9af4ab5eb36c4bfe977d9b603e030c43" </w:instrTex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separate"/>
      </w:r>
      <w:r>
        <w:rPr>
          <w:rStyle w:val="9"/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t>药品零售企业筹建申请表.doc</w: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begin"/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instrText xml:space="preserve"> HYPERLINK "http://www.zjwsbs.gov.cn/portal/serviceAttachmentAction.action?method=downFile&amp;attachmentId=67b8019c91c847a489eebcf975bda8c5" </w:instrTex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separate"/>
      </w:r>
      <w:r>
        <w:rPr>
          <w:rStyle w:val="9"/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t>药品零售企业筹建申请表（样表）.doc</w: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90" w:afterAutospacing="0" w:line="390" w:lineRule="atLeast"/>
        <w:ind w:left="0" w:right="0"/>
        <w:jc w:val="left"/>
        <w:rPr>
          <w:rFonts w:hint="eastAsia" w:ascii="宋体" w:hAnsi="宋体" w:eastAsia="宋体" w:cs="宋体"/>
          <w:color w:val="008000"/>
          <w:sz w:val="27"/>
          <w:szCs w:val="27"/>
        </w:rPr>
      </w:pP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t xml:space="preserve">办理依据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5F5FE"/>
        </w:rPr>
        <w:t>（1）《</w: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begin"/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instrText xml:space="preserve"> HYPERLINK "http://www.zjwsbs.gov.cn/portal/serviceAttachmentAction.action?method=downFile&amp;attachmentId=144bb66fe8004869b953ed878a2c55af" </w:instrTex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separate"/>
      </w:r>
      <w:r>
        <w:rPr>
          <w:rStyle w:val="9"/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t>中华人民共和国药品管理法</w: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>》；</w:t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>（2）《</w: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begin"/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instrText xml:space="preserve"> HYPERLINK "http://www.zjwsbs.gov.cn/portal/serviceAttachmentAction.action?method=downFile&amp;attachmentId=144bb66fe8004869b953ed878a2c55af" </w:instrTex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separate"/>
      </w:r>
      <w:r>
        <w:rPr>
          <w:rStyle w:val="9"/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t>中华人民共和国药品管理法</w: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>实施条例》；</w:t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>（3）《</w: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begin"/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instrText xml:space="preserve"> HYPERLINK "http://www.zjwsbs.gov.cn/portal/serviceAttachmentAction.action?method=downFile&amp;attachmentId=3f368d340e15441eaad14df5df093f5f" </w:instrTex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separate"/>
      </w:r>
      <w:r>
        <w:rPr>
          <w:rStyle w:val="9"/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t>药品经营许可证管理办法</w: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>》；</w:t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>（4）《</w: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begin"/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instrText xml:space="preserve"> HYPERLINK "http://www.zjwsbs.gov.cn/portal/serviceAttachmentAction.action?method=downFile&amp;attachmentId=32be7d1fa7c24361840230cbd89f859a" </w:instrTex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separate"/>
      </w:r>
      <w:r>
        <w:rPr>
          <w:rStyle w:val="9"/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t>药品经营质量管理规范</w: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>》；</w:t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>（5）《</w: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begin"/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instrText xml:space="preserve"> HYPERLINK "http://www.zjwsbs.gov.cn/portal/serviceAttachmentAction.action?method=downFile&amp;attachmentId=5d6ed2731991403d885acbeb0128a603" </w:instrTex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separate"/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begin"/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instrText xml:space="preserve"> HYPERLINK "http://www.zjwsbs.gov.cn/portal/serviceAttachmentAction.action?method=downFile&amp;attachmentId=32be7d1fa7c24361840230cbd89f859a" </w:instrTex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separate"/>
      </w:r>
      <w:r>
        <w:rPr>
          <w:rStyle w:val="9"/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t>药品经营质量管理规范</w: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end"/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t>实施细则</w: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>》；</w:t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>（6）</w: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begin"/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instrText xml:space="preserve"> HYPERLINK "http://www.zjwsbs.gov.cn/portal/serviceAttachmentAction.action?method=downFile&amp;attachmentId=7c7fed60e7ea407eab5a9ba4e2011c13" </w:instrTex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separate"/>
      </w:r>
      <w:r>
        <w:rPr>
          <w:rStyle w:val="9"/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t>广东省开办药品零售企业验收实施标准（06）</w: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90" w:afterAutospacing="0" w:line="390" w:lineRule="atLeast"/>
        <w:ind w:left="0" w:right="0"/>
        <w:jc w:val="left"/>
        <w:rPr>
          <w:rFonts w:hint="eastAsia" w:ascii="宋体" w:hAnsi="宋体" w:eastAsia="宋体" w:cs="宋体"/>
          <w:color w:val="008000"/>
          <w:sz w:val="27"/>
          <w:szCs w:val="27"/>
        </w:rPr>
      </w:pP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t xml:space="preserve">备注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5F5FE"/>
        </w:rPr>
        <w:t xml:space="preserve">无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7C6416"/>
    <w:rsid w:val="27616B25"/>
    <w:rsid w:val="51E152DC"/>
    <w:rsid w:val="67030008"/>
    <w:rsid w:val="6C831C8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color w:val="FF0000"/>
      <w:kern w:val="44"/>
      <w:sz w:val="18"/>
      <w:szCs w:val="18"/>
      <w:u w:val="none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1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qFormat/>
    <w:uiPriority w:val="0"/>
    <w:rPr>
      <w:color w:val="6688CC"/>
      <w:u w:val="none"/>
    </w:rPr>
  </w:style>
  <w:style w:type="character" w:styleId="6">
    <w:name w:val="Emphasis"/>
    <w:basedOn w:val="4"/>
    <w:qFormat/>
    <w:uiPriority w:val="0"/>
  </w:style>
  <w:style w:type="character" w:styleId="7">
    <w:name w:val="HTML Definition"/>
    <w:basedOn w:val="4"/>
    <w:qFormat/>
    <w:uiPriority w:val="0"/>
  </w:style>
  <w:style w:type="character" w:styleId="8">
    <w:name w:val="HTML Variable"/>
    <w:basedOn w:val="4"/>
    <w:qFormat/>
    <w:uiPriority w:val="0"/>
  </w:style>
  <w:style w:type="character" w:styleId="9">
    <w:name w:val="Hyperlink"/>
    <w:basedOn w:val="4"/>
    <w:qFormat/>
    <w:uiPriority w:val="0"/>
    <w:rPr>
      <w:color w:val="6688CC"/>
      <w:u w:val="none"/>
    </w:rPr>
  </w:style>
  <w:style w:type="character" w:styleId="10">
    <w:name w:val="HTML Code"/>
    <w:basedOn w:val="4"/>
    <w:qFormat/>
    <w:uiPriority w:val="0"/>
    <w:rPr>
      <w:rFonts w:ascii="Courier New" w:hAnsi="Courier New"/>
      <w:sz w:val="20"/>
    </w:rPr>
  </w:style>
  <w:style w:type="character" w:styleId="11">
    <w:name w:val="HTML Cite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2017-03-23T03:11:59Z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