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rFonts w:hint="eastAsia" w:ascii="宋体" w:hAnsi="宋体" w:eastAsia="宋体" w:cs="宋体"/>
          <w:i w:val="0"/>
          <w:caps w:val="0"/>
          <w:color w:val="000000"/>
          <w:spacing w:val="0"/>
          <w:sz w:val="44"/>
          <w:szCs w:val="44"/>
        </w:rPr>
      </w:pPr>
      <w:r>
        <w:rPr>
          <w:color w:val="000000" w:themeColor="text1"/>
          <w:sz w:val="44"/>
          <w:szCs w:val="44"/>
          <w:shd w:val="clear" w:fill="FEFEFE"/>
          <w14:textFill>
            <w14:solidFill>
              <w14:schemeClr w14:val="tx1"/>
            </w14:solidFill>
          </w14:textFill>
        </w:rPr>
        <w:t>药品零售企业《药品经营质量管理规范认证证书》核发</w:t>
      </w:r>
      <w:r>
        <w:rPr>
          <w:rFonts w:hint="eastAsia" w:ascii="宋体" w:hAnsi="宋体" w:eastAsia="宋体" w:cs="宋体"/>
          <w:i w:val="0"/>
          <w:caps w:val="0"/>
          <w:color w:val="000000"/>
          <w:spacing w:val="0"/>
          <w:sz w:val="44"/>
          <w:szCs w:val="44"/>
        </w:rPr>
        <w:t>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黑体" w:eastAsia="黑体" w:cs="黑体"/>
          <w:b w:val="0"/>
          <w:i w:val="0"/>
          <w:caps w:val="0"/>
          <w:color w:val="000000"/>
          <w:spacing w:val="0"/>
          <w:sz w:val="21"/>
          <w:szCs w:val="21"/>
        </w:rPr>
      </w:pPr>
      <w:r>
        <w:rPr>
          <w:rFonts w:hint="eastAsia" w:ascii="黑体" w:hAnsi="宋体" w:eastAsia="黑体" w:cs="黑体"/>
          <w:b w:val="0"/>
          <w:i w:val="0"/>
          <w:caps w:val="0"/>
          <w:color w:val="000000"/>
          <w:spacing w:val="0"/>
          <w:kern w:val="0"/>
          <w:sz w:val="21"/>
          <w:szCs w:val="21"/>
          <w:lang w:val="en-US" w:eastAsia="zh-CN" w:bidi="ar"/>
        </w:rPr>
        <w:t>开发区食品药品监督管理局      2016－1－30 发布      2016－1－30 实施</w:t>
      </w:r>
    </w:p>
    <w:p>
      <w:pPr>
        <w:keepNext w:val="0"/>
        <w:keepLines w:val="0"/>
        <w:widowControl/>
        <w:suppressLineNumbers w:val="0"/>
        <w:pBdr>
          <w:top w:val="none" w:color="auto" w:sz="0" w:space="0"/>
          <w:left w:val="none" w:color="auto" w:sz="0" w:space="0"/>
          <w:bottom w:val="single" w:color="800008" w:sz="12" w:space="0"/>
          <w:right w:val="none" w:color="auto" w:sz="0" w:space="0"/>
        </w:pBdr>
        <w:spacing w:before="0" w:beforeAutospacing="0" w:after="300" w:afterAutospacing="0" w:line="450" w:lineRule="atLeast"/>
        <w:ind w:left="0" w:right="0" w:firstLine="0"/>
        <w:rPr>
          <w:rFonts w:hint="eastAsia" w:ascii="宋体" w:hAnsi="宋体" w:eastAsia="宋体" w:cs="宋体"/>
          <w:b w:val="0"/>
          <w:i w:val="0"/>
          <w:caps w:val="0"/>
          <w:color w:val="000000"/>
          <w:spacing w:val="0"/>
          <w:sz w:val="24"/>
          <w:szCs w:val="24"/>
        </w:rPr>
      </w:pPr>
      <w:r>
        <w:rPr>
          <w:rFonts w:ascii="黑体" w:eastAsia="黑体" w:cs="黑体"/>
          <w:b w:val="0"/>
          <w:i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1）具有以下情形之一：</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①具有企业法人资格的药品经营企业；</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②非专营药品的企业法人下属的药品经营企业；</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③不具有企业法人资格且无上级主管单位的药品经营实体。</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（2）有经合法程序领取的《药品经营许可证》和《营业执照》。</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（3）企业经过内部评审，基本符合《药品经营质量管理规范》及其实施细则的条件和要求。</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（4）在申请GSP认证前1年内未因违法违规经营而出现销售假劣药品问题。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申请GSP认证的企业，应填报 《药品经营质量管理规范认证申请书》，同时按下列要求报送以下资料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（1）《药品经营许可证》和营业执照复印件；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（2）企业实施GSP情况的自查报告；</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（3）企业负责人员和质量管理人员情况表，企业养护人员情况表；</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（4）企业药品经营质量管理文件目录；</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（5）企业经营场所和仓库的平面布局图、地理位置图（需标明方向、附近主干道、街道、标志性建筑或明显地理特征）；</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（6）一年内有无违法违规经营或经销假劣药品问题的书面说明。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（7）所有从业人员身份证、聘书、学历、岗位证明、职称（或资格证书）、注册证明、区级以上医院出具的健康证明（有效期内）原件、复印件；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所有药学技术人员登记备案凭证（具体办理条件可依照粤食药监人〔2009〕119号文件要求或咨询我局培训中心2836832、2836833）、继续教育凭证（同时担任质管员的药学技术人员，只需参加质管员继续教育或药学技术人员继续教育中的一项）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（9）企业负责人参加法律法规培训的证明文件原件、复印件。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提交申报材料统一电脑打字、用A4纸打印，复印件另要注明“经审核复印件与原件相符”字样，并加盖企业公章、标注页码、按顺序装订成册。各类证书原件在核验后退回申办人。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6688CC"/>
          <w:sz w:val="27"/>
          <w:szCs w:val="27"/>
          <w:u w:val="none"/>
          <w:shd w:val="clear" w:fill="F5F5FE"/>
        </w:rPr>
        <w:fldChar w:fldCharType="begin"/>
      </w:r>
      <w:r>
        <w:rPr>
          <w:rFonts w:hint="eastAsia" w:ascii="宋体" w:hAnsi="宋体" w:eastAsia="宋体" w:cs="宋体"/>
          <w:color w:val="6688CC"/>
          <w:sz w:val="27"/>
          <w:szCs w:val="27"/>
          <w:u w:val="none"/>
          <w:shd w:val="clear" w:fill="F5F5FE"/>
        </w:rPr>
        <w:instrText xml:space="preserve"> HYPERLINK "http://www.zjwsbs.gov.cn/wsdt/A6F9D13E04E54C209EF0AB9E4EC2E92F/00C5B5FC583A491BB87D2EF70F3030CE/ca2ec7bc272b4f19a91a1f5bb5ec763b.jpg" \t "http://www.zjwsbs.gov.cn/portal/blank" </w:instrText>
      </w:r>
      <w:r>
        <w:rPr>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fldChar w:fldCharType="begin"/>
      </w:r>
      <w:r>
        <w:rPr>
          <w:rStyle w:val="9"/>
          <w:rFonts w:hint="eastAsia" w:ascii="宋体" w:hAnsi="宋体" w:eastAsia="宋体" w:cs="宋体"/>
          <w:color w:val="6688CC"/>
          <w:sz w:val="27"/>
          <w:szCs w:val="27"/>
          <w:u w:val="none"/>
          <w:shd w:val="clear" w:fill="F5F5FE"/>
        </w:rPr>
        <w:instrText xml:space="preserve">INCLUDEPICTURE \d "http://www.zjwsbs.gov.cn/portal/view/common/images/lct.png" \* MERGEFORMATINET </w:instrText>
      </w:r>
      <w:r>
        <w:rPr>
          <w:rStyle w:val="9"/>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Style w:val="9"/>
          <w:rFonts w:hint="eastAsia" w:ascii="宋体" w:hAnsi="宋体" w:eastAsia="宋体" w:cs="宋体"/>
          <w:color w:val="6688CC"/>
          <w:sz w:val="27"/>
          <w:szCs w:val="27"/>
          <w:u w:val="none"/>
          <w:shd w:val="clear" w:fill="F5F5FE"/>
        </w:rPr>
        <w:fldChar w:fldCharType="end"/>
      </w:r>
      <w:r>
        <w:rPr>
          <w:rFonts w:hint="eastAsia" w:ascii="宋体" w:hAnsi="宋体" w:eastAsia="宋体" w:cs="宋体"/>
          <w:color w:val="6688CC"/>
          <w:sz w:val="27"/>
          <w:szCs w:val="27"/>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三个月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可电话投诉（0759-</w:t>
      </w:r>
      <w:r>
        <w:rPr>
          <w:rFonts w:hint="eastAsia" w:ascii="宋体" w:hAnsi="宋体" w:eastAsia="宋体" w:cs="宋体"/>
          <w:b w:val="0"/>
          <w:i w:val="0"/>
          <w:caps w:val="0"/>
          <w:color w:val="000000"/>
          <w:spacing w:val="0"/>
          <w:sz w:val="21"/>
          <w:szCs w:val="21"/>
          <w:lang w:val="en-US" w:eastAsia="zh-CN"/>
        </w:rPr>
        <w:t>12345</w:t>
      </w:r>
      <w:r>
        <w:rPr>
          <w:rFonts w:hint="eastAsia" w:ascii="宋体" w:hAnsi="宋体" w:eastAsia="宋体" w:cs="宋体"/>
          <w:b w:val="0"/>
          <w:i w:val="0"/>
          <w:caps w:val="0"/>
          <w:color w:val="000000"/>
          <w:spacing w:val="0"/>
          <w:sz w:val="21"/>
          <w:szCs w:val="21"/>
        </w:rPr>
        <w:t>、0759-2929010）或窗口投诉。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按有关部门标准收费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"http://www.zjwsbs.gov.cn/portal/view/common/images/ckcjwt.png"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bookmarkStart w:id="0" w:name="_GoBack"/>
      <w:bookmarkEnd w:id="0"/>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"http://www.zjwsbs.gov.cn/portal/serviceAttachmentAction.action?method=downFile&amp;attachmentId=d30bd5429ccd43539260313ec8b1db2e"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零售认证申请书（药品零售企业版）.doc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"http://www.zjwsbs.gov.cn/portal/serviceAttachmentAction.action?method=downFile&amp;attachmentId=173845277c7945abb07451bc558b8683"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零售认证申请书（药品零售企业版）.doc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"http://www.zjwsbs.gov.cn/portal/serviceAttachmentAction.action?method=downFile&amp;attachmentId=BE850F07B20B463FB238D269646A5CA2"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"http://www.zjwsbs.gov.cn/portal/serviceAttachmentAction.action?method=downFile&amp;attachmentId=5716D08AB02746FFB57CC7AFB99C29CE"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》及其《实施细则》；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"http://www.zjwsbs.gov.cn/portal/serviceAttachmentAction.action?method=downFile&amp;attachmentId=5716D08AB02746FFB57CC7AFB99C29CE"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（GSP）认证管理办法（试行）（国药管市[2000]527号）；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"http://www.zjwsbs.gov.cn/portal/serviceAttachmentAction.action?method=downFile&amp;attachmentId=5716D08AB02746FFB57CC7AFB99C29CE"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（GSP）认证管理办法（试行）（粤药监办[2003]27号）；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（5）关于开展药品零售企业GSP认证工作的通知（粤药监通[2003]275号）；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（6）关于开展药品零售企业GSP认证工作的补充通知（粤药监通[2003]350号）及其附件“广东省药品零售企业GSP认证程序”；</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"http://www.zjwsbs.gov.cn/portal/serviceAttachmentAction.action?method=downFile&amp;attachmentId=20D55AF10893417A82F152FD91DBCC8A"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"http://www.zjwsbs.gov.cn/portal/serviceAttachmentAction.action?method=downFile&amp;attachmentId=A58A760C78AA48A2BD0EB78B8F891946"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"http://www.zjwsbs.gov.cn/portal/serviceAttachmentAction.action?method=downFile&amp;attachmentId=AA98191846164B809465C132A6DD5091"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"http://www.zjwsbs.gov.cn/portal/serviceAttachmentAction.action?method=downFile&amp;attachmentId=BACDD154823E4E6184D5DB487A38B160"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"http://www.zjwsbs.gov.cn/portal/serviceAttachmentAction.action?method=downFile&amp;attachmentId=70B76E059B8F444F8C2D34C8F4A10811"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关于做好广东省药学技术人员管理工作的通知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》（粤食药监人〔2009〕119号）；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"http://www.zjwsbs.gov.cn/portal/serviceAttachmentAction.action?method=downFile&amp;attachmentId=158D2D0F4DD14014935113E31885B1A1"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国务院关于第六批取消和调整行政审批项目的决定</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》（国发〔2012〕52号）；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"http://www.zjwsbs.gov.cn/portal/serviceAttachmentAction.action?method=downFile&amp;attachmentId=8708A0EA0C8047E19C4D677404A1C1E0"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国家食品药品监督管理局关于落实国务院决定做好第六批取消调整行政审批项目后续监管和衔接工作的通知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》（国食药监法〔2012〕323号）；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（10）省局《关于做好药品零售企业〈</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"http://www.zjwsbs.gov.cn/portal/serviceAttachmentAction.action?method=downFile&amp;attachmentId=5716D08AB02746FFB57CC7AFB99C29CE"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〉认证管理工作的通知》(食药监办〔2013〕81号)。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F4FF0"/>
    <w:rsid w:val="06516667"/>
    <w:rsid w:val="1E722891"/>
    <w:rsid w:val="2E943675"/>
    <w:rsid w:val="5A471E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u w:val="none"/>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2017-03-23T02:41:42Z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