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关于印发《湛江</w:t>
      </w:r>
      <w:r>
        <w:rPr>
          <w:rFonts w:hint="eastAsia"/>
          <w:b/>
          <w:sz w:val="36"/>
          <w:szCs w:val="36"/>
          <w:lang w:eastAsia="zh-CN"/>
        </w:rPr>
        <w:t>经济技术开发区</w:t>
      </w:r>
      <w:r>
        <w:rPr>
          <w:rFonts w:hint="eastAsia"/>
          <w:b/>
          <w:sz w:val="36"/>
          <w:szCs w:val="36"/>
        </w:rPr>
        <w:t>食品药品监督管理局2017年药品零售企业跟踪检查方案》的通知</w:t>
      </w:r>
    </w:p>
    <w:p/>
    <w:p>
      <w:pPr>
        <w:rPr>
          <w:rFonts w:ascii="仿宋" w:hAnsi="仿宋" w:eastAsia="仿宋"/>
          <w:sz w:val="32"/>
          <w:szCs w:val="32"/>
        </w:rPr>
      </w:pPr>
      <w:r>
        <w:rPr>
          <w:rFonts w:hint="eastAsia" w:ascii="仿宋" w:hAnsi="仿宋" w:eastAsia="仿宋"/>
          <w:sz w:val="32"/>
          <w:szCs w:val="32"/>
        </w:rPr>
        <w:t>局</w:t>
      </w:r>
      <w:r>
        <w:rPr>
          <w:rFonts w:hint="eastAsia" w:ascii="仿宋" w:hAnsi="仿宋" w:eastAsia="仿宋"/>
          <w:sz w:val="32"/>
          <w:szCs w:val="32"/>
          <w:lang w:eastAsia="zh-CN"/>
        </w:rPr>
        <w:t>各科室（所）</w:t>
      </w:r>
      <w:r>
        <w:rPr>
          <w:rFonts w:hint="eastAsia" w:ascii="仿宋" w:hAnsi="仿宋" w:eastAsia="仿宋"/>
          <w:sz w:val="32"/>
          <w:szCs w:val="32"/>
        </w:rPr>
        <w:t>：</w:t>
      </w:r>
    </w:p>
    <w:p>
      <w:pPr>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为加强事中事后监管，落实监管责任，根据《药品经营质量管理规范认证管理办法》、《药品医疗器械飞行检查办法》等规定及《广东省食品药品监督管理局2017年药品经营企业跟踪检查方案》的要求，</w:t>
      </w:r>
      <w:r>
        <w:rPr>
          <w:rFonts w:hint="eastAsia" w:ascii="仿宋" w:hAnsi="仿宋" w:eastAsia="仿宋"/>
          <w:sz w:val="32"/>
          <w:szCs w:val="32"/>
          <w:lang w:eastAsia="zh-CN"/>
        </w:rPr>
        <w:t>我</w:t>
      </w:r>
      <w:r>
        <w:rPr>
          <w:rFonts w:hint="eastAsia" w:ascii="仿宋" w:hAnsi="仿宋" w:eastAsia="仿宋"/>
          <w:sz w:val="32"/>
          <w:szCs w:val="32"/>
        </w:rPr>
        <w:t>局制定了《湛江</w:t>
      </w:r>
      <w:r>
        <w:rPr>
          <w:rFonts w:hint="eastAsia" w:ascii="仿宋" w:hAnsi="仿宋" w:eastAsia="仿宋"/>
          <w:sz w:val="32"/>
          <w:szCs w:val="32"/>
          <w:lang w:eastAsia="zh-CN"/>
        </w:rPr>
        <w:t>经济技术开发区</w:t>
      </w:r>
      <w:r>
        <w:rPr>
          <w:rFonts w:hint="eastAsia" w:ascii="仿宋" w:hAnsi="仿宋" w:eastAsia="仿宋"/>
          <w:sz w:val="32"/>
          <w:szCs w:val="32"/>
        </w:rPr>
        <w:t>食品药品监督管理局2017年药品零售企业跟踪检查方案》，现印发给你们，请认真贯彻落实。</w:t>
      </w:r>
    </w:p>
    <w:p/>
    <w:p/>
    <w:p/>
    <w:p/>
    <w:p>
      <w:p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湛江</w:t>
      </w:r>
      <w:r>
        <w:rPr>
          <w:rFonts w:hint="eastAsia" w:ascii="仿宋" w:hAnsi="仿宋" w:eastAsia="仿宋"/>
          <w:sz w:val="32"/>
          <w:szCs w:val="32"/>
          <w:lang w:eastAsia="zh-CN"/>
        </w:rPr>
        <w:t>经济技术开发区</w:t>
      </w:r>
      <w:r>
        <w:rPr>
          <w:rFonts w:hint="eastAsia" w:ascii="仿宋" w:hAnsi="仿宋" w:eastAsia="仿宋"/>
          <w:sz w:val="32"/>
          <w:szCs w:val="32"/>
        </w:rPr>
        <w:t>食品药品监督管理局</w:t>
      </w:r>
    </w:p>
    <w:p>
      <w:pPr>
        <w:rPr>
          <w:rFonts w:ascii="仿宋" w:hAnsi="仿宋" w:eastAsia="仿宋"/>
          <w:sz w:val="30"/>
          <w:szCs w:val="30"/>
        </w:rPr>
      </w:pPr>
      <w:r>
        <w:rPr>
          <w:rFonts w:hint="eastAsia" w:ascii="仿宋" w:hAnsi="仿宋" w:eastAsia="仿宋"/>
          <w:sz w:val="30"/>
          <w:szCs w:val="30"/>
        </w:rPr>
        <w:t xml:space="preserve">                            2017年2月</w:t>
      </w:r>
      <w:r>
        <w:rPr>
          <w:rFonts w:hint="eastAsia" w:ascii="仿宋" w:hAnsi="仿宋" w:eastAsia="仿宋"/>
          <w:sz w:val="30"/>
          <w:szCs w:val="30"/>
          <w:lang w:val="en-US" w:eastAsia="zh-CN"/>
        </w:rPr>
        <w:t>18</w:t>
      </w:r>
      <w:bookmarkStart w:id="0" w:name="_GoBack"/>
      <w:bookmarkEnd w:id="0"/>
      <w:r>
        <w:rPr>
          <w:rFonts w:hint="eastAsia" w:ascii="仿宋" w:hAnsi="仿宋" w:eastAsia="仿宋"/>
          <w:sz w:val="30"/>
          <w:szCs w:val="30"/>
        </w:rPr>
        <w:t>日</w:t>
      </w:r>
    </w:p>
    <w:p>
      <w:pPr>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jc w:val="center"/>
        <w:rPr>
          <w:b/>
          <w:sz w:val="36"/>
          <w:szCs w:val="36"/>
        </w:rPr>
      </w:pPr>
      <w:r>
        <w:rPr>
          <w:rFonts w:hint="eastAsia"/>
          <w:b/>
          <w:sz w:val="36"/>
          <w:szCs w:val="36"/>
        </w:rPr>
        <w:t>湛江</w:t>
      </w:r>
      <w:r>
        <w:rPr>
          <w:rFonts w:hint="eastAsia"/>
          <w:b/>
          <w:sz w:val="36"/>
          <w:szCs w:val="36"/>
          <w:lang w:eastAsia="zh-CN"/>
        </w:rPr>
        <w:t>经济技术开发区</w:t>
      </w:r>
      <w:r>
        <w:rPr>
          <w:rFonts w:hint="eastAsia"/>
          <w:b/>
          <w:sz w:val="36"/>
          <w:szCs w:val="36"/>
        </w:rPr>
        <w:t>食品药品监督管理局</w:t>
      </w:r>
    </w:p>
    <w:p>
      <w:pPr>
        <w:jc w:val="center"/>
        <w:rPr>
          <w:b/>
          <w:sz w:val="36"/>
          <w:szCs w:val="36"/>
        </w:rPr>
      </w:pPr>
      <w:r>
        <w:rPr>
          <w:rFonts w:hint="eastAsia"/>
          <w:b/>
          <w:sz w:val="36"/>
          <w:szCs w:val="36"/>
        </w:rPr>
        <w:t>2017年药品零售企业跟踪检查方案</w:t>
      </w:r>
    </w:p>
    <w:p>
      <w:pPr>
        <w:jc w:val="center"/>
        <w:rPr>
          <w:b/>
          <w:sz w:val="36"/>
          <w:szCs w:val="36"/>
        </w:rPr>
      </w:pPr>
    </w:p>
    <w:p>
      <w:pPr>
        <w:ind w:firstLine="600" w:firstLineChars="200"/>
        <w:rPr>
          <w:rFonts w:ascii="仿宋" w:hAnsi="仿宋" w:eastAsia="仿宋"/>
          <w:sz w:val="30"/>
          <w:szCs w:val="30"/>
        </w:rPr>
      </w:pPr>
      <w:r>
        <w:rPr>
          <w:rFonts w:hint="eastAsia" w:ascii="仿宋" w:hAnsi="仿宋" w:eastAsia="仿宋"/>
          <w:sz w:val="30"/>
          <w:szCs w:val="30"/>
        </w:rPr>
        <w:t>一、总体要求</w:t>
      </w:r>
      <w:r>
        <w:rPr>
          <w:rFonts w:hint="eastAsia" w:ascii="仿宋" w:hAnsi="仿宋" w:eastAsia="仿宋"/>
          <w:sz w:val="30"/>
          <w:szCs w:val="30"/>
          <w:lang w:val="en-US" w:eastAsia="zh-CN"/>
        </w:rPr>
        <w:t xml:space="preserve">    </w:t>
      </w:r>
    </w:p>
    <w:p>
      <w:pPr>
        <w:ind w:firstLine="600" w:firstLineChars="200"/>
        <w:rPr>
          <w:rFonts w:ascii="仿宋" w:hAnsi="仿宋" w:eastAsia="仿宋"/>
          <w:sz w:val="30"/>
          <w:szCs w:val="30"/>
        </w:rPr>
      </w:pPr>
      <w:r>
        <w:rPr>
          <w:rFonts w:hint="eastAsia" w:ascii="仿宋" w:hAnsi="仿宋" w:eastAsia="仿宋"/>
          <w:sz w:val="30"/>
          <w:szCs w:val="30"/>
        </w:rPr>
        <w:t>坚持问题导向、从严监管的原则，</w:t>
      </w:r>
      <w:r>
        <w:rPr>
          <w:rFonts w:hint="eastAsia" w:ascii="仿宋" w:hAnsi="仿宋" w:eastAsia="仿宋"/>
          <w:sz w:val="30"/>
          <w:szCs w:val="30"/>
          <w:lang w:eastAsia="zh-CN"/>
        </w:rPr>
        <w:t>加</w:t>
      </w:r>
      <w:r>
        <w:rPr>
          <w:rFonts w:hint="eastAsia" w:ascii="仿宋" w:hAnsi="仿宋" w:eastAsia="仿宋"/>
          <w:sz w:val="30"/>
          <w:szCs w:val="30"/>
        </w:rPr>
        <w:t>大对高风险企业的检查力度，充分利用信息化监管手段和风险管理方式，提高检查的针对性和覆盖面。</w:t>
      </w:r>
    </w:p>
    <w:p>
      <w:pPr>
        <w:ind w:firstLine="600" w:firstLineChars="200"/>
        <w:rPr>
          <w:rFonts w:ascii="仿宋" w:hAnsi="仿宋" w:eastAsia="仿宋"/>
          <w:sz w:val="30"/>
          <w:szCs w:val="30"/>
        </w:rPr>
      </w:pPr>
      <w:r>
        <w:rPr>
          <w:rFonts w:hint="eastAsia" w:ascii="仿宋" w:hAnsi="仿宋" w:eastAsia="仿宋"/>
          <w:sz w:val="30"/>
          <w:szCs w:val="30"/>
        </w:rPr>
        <w:t>二、检查标准</w:t>
      </w:r>
    </w:p>
    <w:p>
      <w:pPr>
        <w:ind w:firstLine="600" w:firstLineChars="200"/>
        <w:rPr>
          <w:rFonts w:ascii="仿宋" w:hAnsi="仿宋" w:eastAsia="仿宋"/>
          <w:sz w:val="30"/>
          <w:szCs w:val="30"/>
        </w:rPr>
      </w:pPr>
      <w:r>
        <w:rPr>
          <w:rFonts w:hint="eastAsia" w:ascii="仿宋" w:hAnsi="仿宋" w:eastAsia="仿宋"/>
          <w:sz w:val="30"/>
          <w:szCs w:val="30"/>
        </w:rPr>
        <w:t>严格按《药品经营质量管理规范》（国家食品药品监督管理局总局令第28号）、《药品经营质量管理规范现场检查指导原则》（食药监药化监[2016]160号）要求开展检查。</w:t>
      </w:r>
    </w:p>
    <w:p>
      <w:pPr>
        <w:ind w:firstLine="600" w:firstLineChars="200"/>
        <w:rPr>
          <w:rFonts w:ascii="仿宋" w:hAnsi="仿宋" w:eastAsia="仿宋"/>
          <w:sz w:val="30"/>
          <w:szCs w:val="30"/>
        </w:rPr>
      </w:pPr>
      <w:r>
        <w:rPr>
          <w:rFonts w:hint="eastAsia" w:ascii="仿宋" w:hAnsi="仿宋" w:eastAsia="仿宋"/>
          <w:sz w:val="30"/>
          <w:szCs w:val="30"/>
        </w:rPr>
        <w:t>三、职责分工</w:t>
      </w:r>
    </w:p>
    <w:p>
      <w:pPr>
        <w:ind w:firstLine="600" w:firstLineChars="200"/>
        <w:rPr>
          <w:rFonts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eastAsia="zh-CN"/>
        </w:rPr>
        <w:t>我</w:t>
      </w:r>
      <w:r>
        <w:rPr>
          <w:rFonts w:hint="eastAsia" w:ascii="仿宋" w:hAnsi="仿宋" w:eastAsia="仿宋"/>
          <w:sz w:val="30"/>
          <w:szCs w:val="30"/>
        </w:rPr>
        <w:t>局药品</w:t>
      </w:r>
      <w:r>
        <w:rPr>
          <w:rFonts w:hint="eastAsia" w:ascii="仿宋" w:hAnsi="仿宋" w:eastAsia="仿宋"/>
          <w:sz w:val="30"/>
          <w:szCs w:val="30"/>
          <w:lang w:eastAsia="zh-CN"/>
        </w:rPr>
        <w:t>生产</w:t>
      </w:r>
      <w:r>
        <w:rPr>
          <w:rFonts w:hint="eastAsia" w:ascii="仿宋" w:hAnsi="仿宋" w:eastAsia="仿宋"/>
          <w:sz w:val="30"/>
          <w:szCs w:val="30"/>
        </w:rPr>
        <w:t>流通安全监管科</w:t>
      </w:r>
      <w:r>
        <w:rPr>
          <w:rFonts w:hint="eastAsia" w:ascii="仿宋" w:hAnsi="仿宋" w:eastAsia="仿宋"/>
          <w:sz w:val="30"/>
          <w:szCs w:val="30"/>
          <w:lang w:eastAsia="zh-CN"/>
        </w:rPr>
        <w:t>根据局制定的</w:t>
      </w:r>
      <w:r>
        <w:rPr>
          <w:rFonts w:hint="eastAsia" w:ascii="仿宋" w:hAnsi="仿宋" w:eastAsia="仿宋"/>
          <w:sz w:val="32"/>
          <w:szCs w:val="32"/>
        </w:rPr>
        <w:t>药品零售企业</w:t>
      </w:r>
      <w:r>
        <w:rPr>
          <w:rFonts w:hint="eastAsia" w:ascii="仿宋" w:hAnsi="仿宋" w:eastAsia="仿宋"/>
          <w:sz w:val="30"/>
          <w:szCs w:val="30"/>
        </w:rPr>
        <w:t>跟踪检查方案</w:t>
      </w:r>
      <w:r>
        <w:rPr>
          <w:rFonts w:hint="eastAsia" w:ascii="仿宋" w:hAnsi="仿宋" w:eastAsia="仿宋"/>
          <w:sz w:val="30"/>
          <w:szCs w:val="30"/>
          <w:lang w:eastAsia="zh-CN"/>
        </w:rPr>
        <w:t>，</w:t>
      </w:r>
      <w:r>
        <w:rPr>
          <w:rFonts w:hint="eastAsia" w:ascii="仿宋" w:hAnsi="仿宋" w:eastAsia="仿宋"/>
          <w:sz w:val="30"/>
          <w:szCs w:val="30"/>
        </w:rPr>
        <w:t>开展</w:t>
      </w:r>
      <w:r>
        <w:rPr>
          <w:rFonts w:hint="eastAsia" w:ascii="仿宋" w:hAnsi="仿宋" w:eastAsia="仿宋"/>
          <w:sz w:val="30"/>
          <w:szCs w:val="30"/>
          <w:lang w:eastAsia="zh-CN"/>
        </w:rPr>
        <w:t>对本</w:t>
      </w:r>
      <w:r>
        <w:rPr>
          <w:rFonts w:hint="eastAsia" w:ascii="仿宋" w:hAnsi="仿宋" w:eastAsia="仿宋"/>
          <w:sz w:val="30"/>
          <w:szCs w:val="30"/>
        </w:rPr>
        <w:t>辖区</w:t>
      </w:r>
      <w:r>
        <w:rPr>
          <w:rFonts w:hint="eastAsia" w:ascii="仿宋" w:hAnsi="仿宋" w:eastAsia="仿宋"/>
          <w:sz w:val="30"/>
          <w:szCs w:val="30"/>
          <w:lang w:eastAsia="zh-CN"/>
        </w:rPr>
        <w:t>内</w:t>
      </w:r>
      <w:r>
        <w:rPr>
          <w:rFonts w:hint="eastAsia" w:ascii="仿宋" w:hAnsi="仿宋" w:eastAsia="仿宋"/>
          <w:sz w:val="30"/>
          <w:szCs w:val="30"/>
        </w:rPr>
        <w:t>药品零售</w:t>
      </w:r>
      <w:r>
        <w:rPr>
          <w:rFonts w:hint="eastAsia" w:ascii="仿宋" w:hAnsi="仿宋" w:eastAsia="仿宋"/>
          <w:sz w:val="30"/>
          <w:szCs w:val="30"/>
          <w:lang w:eastAsia="zh-CN"/>
        </w:rPr>
        <w:t>企业</w:t>
      </w:r>
      <w:r>
        <w:rPr>
          <w:rFonts w:hint="eastAsia" w:ascii="仿宋" w:hAnsi="仿宋" w:eastAsia="仿宋"/>
          <w:sz w:val="30"/>
          <w:szCs w:val="30"/>
        </w:rPr>
        <w:t>（不含连锁门店）</w:t>
      </w:r>
      <w:r>
        <w:rPr>
          <w:rFonts w:hint="eastAsia" w:ascii="仿宋" w:hAnsi="仿宋" w:eastAsia="仿宋"/>
          <w:sz w:val="30"/>
          <w:szCs w:val="30"/>
          <w:lang w:eastAsia="zh-CN"/>
        </w:rPr>
        <w:t>进行</w:t>
      </w:r>
      <w:r>
        <w:rPr>
          <w:rFonts w:hint="eastAsia" w:ascii="仿宋" w:hAnsi="仿宋" w:eastAsia="仿宋"/>
          <w:sz w:val="30"/>
          <w:szCs w:val="30"/>
        </w:rPr>
        <w:t>跟踪检查。</w:t>
      </w:r>
    </w:p>
    <w:p>
      <w:pPr>
        <w:ind w:firstLine="600" w:firstLineChars="200"/>
        <w:rPr>
          <w:rFonts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硇洲所根据局制定的</w:t>
      </w:r>
      <w:r>
        <w:rPr>
          <w:rFonts w:hint="eastAsia" w:ascii="仿宋" w:hAnsi="仿宋" w:eastAsia="仿宋"/>
          <w:sz w:val="32"/>
          <w:szCs w:val="32"/>
        </w:rPr>
        <w:t>药品零售企业</w:t>
      </w:r>
      <w:r>
        <w:rPr>
          <w:rFonts w:hint="eastAsia" w:ascii="仿宋" w:hAnsi="仿宋" w:eastAsia="仿宋"/>
          <w:sz w:val="30"/>
          <w:szCs w:val="30"/>
        </w:rPr>
        <w:t>跟踪检查方案</w:t>
      </w:r>
      <w:r>
        <w:rPr>
          <w:rFonts w:hint="eastAsia" w:ascii="仿宋" w:hAnsi="仿宋" w:eastAsia="仿宋"/>
          <w:sz w:val="30"/>
          <w:szCs w:val="30"/>
          <w:lang w:eastAsia="zh-CN"/>
        </w:rPr>
        <w:t>，</w:t>
      </w:r>
      <w:r>
        <w:rPr>
          <w:rFonts w:hint="eastAsia" w:ascii="仿宋" w:hAnsi="仿宋" w:eastAsia="仿宋"/>
          <w:sz w:val="30"/>
          <w:szCs w:val="30"/>
        </w:rPr>
        <w:t>开展</w:t>
      </w:r>
      <w:r>
        <w:rPr>
          <w:rFonts w:hint="eastAsia" w:ascii="仿宋" w:hAnsi="仿宋" w:eastAsia="仿宋"/>
          <w:sz w:val="30"/>
          <w:szCs w:val="30"/>
          <w:lang w:eastAsia="zh-CN"/>
        </w:rPr>
        <w:t>对硇洲镇内</w:t>
      </w:r>
      <w:r>
        <w:rPr>
          <w:rFonts w:hint="eastAsia" w:ascii="仿宋" w:hAnsi="仿宋" w:eastAsia="仿宋"/>
          <w:sz w:val="30"/>
          <w:szCs w:val="30"/>
        </w:rPr>
        <w:t>药品零售</w:t>
      </w:r>
      <w:r>
        <w:rPr>
          <w:rFonts w:hint="eastAsia" w:ascii="仿宋" w:hAnsi="仿宋" w:eastAsia="仿宋"/>
          <w:sz w:val="30"/>
          <w:szCs w:val="30"/>
          <w:lang w:eastAsia="zh-CN"/>
        </w:rPr>
        <w:t>企业</w:t>
      </w:r>
      <w:r>
        <w:rPr>
          <w:rFonts w:hint="eastAsia" w:ascii="仿宋" w:hAnsi="仿宋" w:eastAsia="仿宋"/>
          <w:sz w:val="30"/>
          <w:szCs w:val="30"/>
        </w:rPr>
        <w:t>（不含连锁门店）</w:t>
      </w:r>
      <w:r>
        <w:rPr>
          <w:rFonts w:hint="eastAsia" w:ascii="仿宋" w:hAnsi="仿宋" w:eastAsia="仿宋"/>
          <w:sz w:val="30"/>
          <w:szCs w:val="30"/>
          <w:lang w:eastAsia="zh-CN"/>
        </w:rPr>
        <w:t>进行</w:t>
      </w:r>
      <w:r>
        <w:rPr>
          <w:rFonts w:hint="eastAsia" w:ascii="仿宋" w:hAnsi="仿宋" w:eastAsia="仿宋"/>
          <w:sz w:val="30"/>
          <w:szCs w:val="30"/>
        </w:rPr>
        <w:t>跟踪检查。</w:t>
      </w:r>
    </w:p>
    <w:p>
      <w:p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四、检查重点</w:t>
      </w:r>
    </w:p>
    <w:p>
      <w:pPr>
        <w:ind w:firstLine="600" w:firstLineChars="200"/>
        <w:rPr>
          <w:rFonts w:ascii="仿宋" w:hAnsi="仿宋" w:eastAsia="仿宋"/>
          <w:sz w:val="30"/>
          <w:szCs w:val="30"/>
        </w:rPr>
      </w:pPr>
      <w:r>
        <w:rPr>
          <w:rFonts w:hint="eastAsia" w:ascii="仿宋" w:hAnsi="仿宋" w:eastAsia="仿宋"/>
          <w:sz w:val="30"/>
          <w:szCs w:val="30"/>
        </w:rPr>
        <w:t>（一）2016年度被撤销GSP证书的企业；</w:t>
      </w:r>
    </w:p>
    <w:p>
      <w:pPr>
        <w:ind w:firstLine="600" w:firstLineChars="200"/>
        <w:rPr>
          <w:rFonts w:ascii="仿宋" w:hAnsi="仿宋" w:eastAsia="仿宋"/>
          <w:sz w:val="30"/>
          <w:szCs w:val="30"/>
        </w:rPr>
      </w:pPr>
      <w:r>
        <w:rPr>
          <w:rFonts w:hint="eastAsia" w:ascii="仿宋" w:hAnsi="仿宋" w:eastAsia="仿宋"/>
          <w:sz w:val="30"/>
          <w:szCs w:val="30"/>
        </w:rPr>
        <w:t>（二）2016年度注册地址及仓库地址迁入本辖区的企业；</w:t>
      </w:r>
    </w:p>
    <w:p>
      <w:pPr>
        <w:ind w:firstLine="600" w:firstLineChars="200"/>
        <w:rPr>
          <w:rFonts w:ascii="仿宋" w:hAnsi="仿宋" w:eastAsia="仿宋"/>
          <w:sz w:val="30"/>
          <w:szCs w:val="30"/>
        </w:rPr>
      </w:pPr>
      <w:r>
        <w:rPr>
          <w:rFonts w:hint="eastAsia" w:ascii="仿宋" w:hAnsi="仿宋" w:eastAsia="仿宋"/>
          <w:sz w:val="30"/>
          <w:szCs w:val="30"/>
        </w:rPr>
        <w:t>（三）2016年度药品经营许可证许可事项变更较为频繁的企业；</w:t>
      </w:r>
    </w:p>
    <w:p>
      <w:pPr>
        <w:ind w:firstLine="600" w:firstLineChars="200"/>
        <w:rPr>
          <w:rFonts w:ascii="仿宋" w:hAnsi="仿宋" w:eastAsia="仿宋"/>
          <w:sz w:val="30"/>
          <w:szCs w:val="30"/>
        </w:rPr>
      </w:pPr>
      <w:r>
        <w:rPr>
          <w:rFonts w:hint="eastAsia" w:ascii="仿宋" w:hAnsi="仿宋" w:eastAsia="仿宋"/>
          <w:sz w:val="30"/>
          <w:szCs w:val="30"/>
        </w:rPr>
        <w:t>（四）上传电子监管数据异常或者经营高风险品种的企业；</w:t>
      </w:r>
    </w:p>
    <w:p>
      <w:pPr>
        <w:ind w:firstLine="600" w:firstLineChars="200"/>
        <w:rPr>
          <w:rFonts w:ascii="仿宋" w:hAnsi="仿宋" w:eastAsia="仿宋"/>
          <w:sz w:val="30"/>
          <w:szCs w:val="30"/>
        </w:rPr>
      </w:pPr>
      <w:r>
        <w:rPr>
          <w:rFonts w:hint="eastAsia" w:ascii="仿宋" w:hAnsi="仿宋" w:eastAsia="仿宋"/>
          <w:sz w:val="30"/>
          <w:szCs w:val="30"/>
        </w:rPr>
        <w:t>（五）2016年度新开办的企业。</w:t>
      </w:r>
    </w:p>
    <w:p>
      <w:pPr>
        <w:ind w:firstLine="600" w:firstLineChars="200"/>
        <w:rPr>
          <w:rFonts w:ascii="仿宋" w:hAnsi="仿宋" w:eastAsia="仿宋"/>
          <w:sz w:val="30"/>
          <w:szCs w:val="30"/>
        </w:rPr>
      </w:pPr>
      <w:r>
        <w:rPr>
          <w:rFonts w:hint="eastAsia" w:ascii="仿宋" w:hAnsi="仿宋" w:eastAsia="仿宋"/>
          <w:sz w:val="30"/>
          <w:szCs w:val="30"/>
        </w:rPr>
        <w:t>五、程序要求</w:t>
      </w:r>
    </w:p>
    <w:p>
      <w:pPr>
        <w:ind w:firstLine="600" w:firstLineChars="200"/>
        <w:rPr>
          <w:rFonts w:ascii="仿宋" w:hAnsi="仿宋" w:eastAsia="仿宋"/>
          <w:sz w:val="30"/>
          <w:szCs w:val="30"/>
        </w:rPr>
      </w:pPr>
      <w:r>
        <w:rPr>
          <w:rFonts w:hint="eastAsia" w:ascii="仿宋" w:hAnsi="仿宋" w:eastAsia="仿宋"/>
          <w:sz w:val="30"/>
          <w:szCs w:val="30"/>
        </w:rPr>
        <w:t>（一）在检查过程中发现药品零售企业不符合GSP要求，应责其限期整改的，应在跟踪检查结束后15个工作日内发出限期整改通知，并将限期整改公告在（市、区）局公众网上进行公示，同时将限期整改通知及公告抄送</w:t>
      </w:r>
      <w:r>
        <w:rPr>
          <w:rFonts w:hint="eastAsia" w:ascii="仿宋" w:hAnsi="仿宋" w:eastAsia="仿宋"/>
          <w:sz w:val="30"/>
          <w:szCs w:val="30"/>
          <w:lang w:eastAsia="zh-CN"/>
        </w:rPr>
        <w:t>市局</w:t>
      </w:r>
      <w:r>
        <w:rPr>
          <w:rFonts w:hint="eastAsia" w:ascii="仿宋" w:hAnsi="仿宋" w:eastAsia="仿宋"/>
          <w:sz w:val="30"/>
          <w:szCs w:val="30"/>
        </w:rPr>
        <w:t>流通科，由流通科在市局公众网上同步公示。</w:t>
      </w:r>
    </w:p>
    <w:p>
      <w:pPr>
        <w:ind w:firstLine="600" w:firstLineChars="20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）在检查过程中发现有药品零售企业严重违反GSP规定，需要提请市局撤销GSP证书的，应将检查报告、证据材料等在跟踪检查结束后5个工作日内邮寄至</w:t>
      </w:r>
      <w:r>
        <w:rPr>
          <w:rFonts w:hint="eastAsia" w:ascii="仿宋" w:hAnsi="仿宋" w:eastAsia="仿宋"/>
          <w:sz w:val="30"/>
          <w:szCs w:val="30"/>
          <w:lang w:eastAsia="zh-CN"/>
        </w:rPr>
        <w:t>市局</w:t>
      </w:r>
      <w:r>
        <w:rPr>
          <w:rFonts w:hint="eastAsia" w:ascii="仿宋" w:hAnsi="仿宋" w:eastAsia="仿宋"/>
          <w:sz w:val="30"/>
          <w:szCs w:val="30"/>
        </w:rPr>
        <w:t>流通科。</w:t>
      </w:r>
    </w:p>
    <w:p>
      <w:pPr>
        <w:ind w:firstLine="600" w:firstLineChars="20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）所有药品零售企业现场检查情况应在检查结束后10个工作日内录入省局的OA系统。所有企业的跟踪检查材料、复查情况记录应分类按时间顺序登记在册存档备查。</w:t>
      </w:r>
    </w:p>
    <w:p>
      <w:pPr>
        <w:ind w:firstLine="600" w:firstLineChars="200"/>
        <w:rPr>
          <w:rFonts w:ascii="仿宋" w:hAnsi="仿宋" w:eastAsia="仿宋"/>
          <w:sz w:val="30"/>
          <w:szCs w:val="30"/>
        </w:rPr>
      </w:pPr>
      <w:r>
        <w:rPr>
          <w:rFonts w:hint="eastAsia" w:ascii="仿宋" w:hAnsi="仿宋" w:eastAsia="仿宋"/>
          <w:sz w:val="30"/>
          <w:szCs w:val="30"/>
        </w:rPr>
        <w:t>六、工作要求</w:t>
      </w:r>
    </w:p>
    <w:p>
      <w:pPr>
        <w:ind w:firstLine="600" w:firstLineChars="200"/>
        <w:rPr>
          <w:rFonts w:ascii="仿宋" w:hAnsi="仿宋" w:eastAsia="仿宋"/>
          <w:sz w:val="30"/>
          <w:szCs w:val="30"/>
        </w:rPr>
      </w:pPr>
      <w:r>
        <w:rPr>
          <w:rFonts w:hint="eastAsia" w:ascii="仿宋" w:hAnsi="仿宋" w:eastAsia="仿宋"/>
          <w:sz w:val="30"/>
          <w:szCs w:val="30"/>
        </w:rPr>
        <w:t>（一）制定跟踪检查方案时</w:t>
      </w:r>
      <w:r>
        <w:rPr>
          <w:rFonts w:hint="eastAsia" w:ascii="仿宋" w:hAnsi="仿宋" w:eastAsia="仿宋"/>
          <w:sz w:val="30"/>
          <w:szCs w:val="30"/>
          <w:lang w:eastAsia="zh-CN"/>
        </w:rPr>
        <w:t>已</w:t>
      </w:r>
      <w:r>
        <w:rPr>
          <w:rFonts w:hint="eastAsia" w:ascii="仿宋" w:hAnsi="仿宋" w:eastAsia="仿宋"/>
          <w:sz w:val="30"/>
          <w:szCs w:val="30"/>
        </w:rPr>
        <w:t>列跟踪检查的企业名单，跟踪检查企业数不得少于辖区内药品零售企业总数的30%。</w:t>
      </w:r>
    </w:p>
    <w:p>
      <w:pPr>
        <w:ind w:firstLine="600" w:firstLineChars="200"/>
        <w:rPr>
          <w:rFonts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我局</w:t>
      </w:r>
      <w:r>
        <w:rPr>
          <w:rFonts w:hint="eastAsia" w:ascii="仿宋" w:hAnsi="仿宋" w:eastAsia="仿宋"/>
          <w:sz w:val="30"/>
          <w:szCs w:val="30"/>
        </w:rPr>
        <w:t>于2017年6月30日前完成全年跟踪检查任务不少于50%；于2017年10月31日前完成全年跟踪检查任务；于2017年11月10日前向市局药品流通安全监管科报送本年度跟踪检查的详细书面报告，书面报告内容包括：开展情况、存在问题、意见建议等。</w:t>
      </w:r>
    </w:p>
    <w:p>
      <w:pPr>
        <w:ind w:firstLine="600" w:firstLineChars="200"/>
        <w:rPr>
          <w:rFonts w:ascii="仿宋" w:hAnsi="仿宋" w:eastAsia="仿宋"/>
          <w:sz w:val="30"/>
          <w:szCs w:val="30"/>
        </w:rPr>
      </w:pPr>
      <w:r>
        <w:rPr>
          <w:rFonts w:hint="eastAsia" w:ascii="仿宋" w:hAnsi="仿宋" w:eastAsia="仿宋"/>
          <w:sz w:val="30"/>
          <w:szCs w:val="30"/>
        </w:rPr>
        <w:t>（三）跟踪检查组应至少由2名药品GSP检查员组成。</w:t>
      </w:r>
      <w:r>
        <w:rPr>
          <w:rFonts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（四）跟踪检查应依照《药品医疗器械飞行检查办法》相关程序采取飞行检查的方式进行，组织现场检查单位不得事先通知被检查企业。</w:t>
      </w:r>
    </w:p>
    <w:p>
      <w:pPr>
        <w:ind w:firstLine="600" w:firstLineChars="200"/>
        <w:rPr>
          <w:rFonts w:ascii="仿宋" w:hAnsi="仿宋" w:eastAsia="仿宋"/>
          <w:sz w:val="30"/>
          <w:szCs w:val="30"/>
        </w:rPr>
      </w:pPr>
      <w:r>
        <w:rPr>
          <w:rFonts w:hint="eastAsia" w:ascii="仿宋" w:hAnsi="仿宋" w:eastAsia="仿宋"/>
          <w:sz w:val="30"/>
          <w:szCs w:val="30"/>
        </w:rPr>
        <w:t>（五）跟踪检查可结合投诉举报、专项检查、日常检查等其他需要，同步开展。</w:t>
      </w:r>
    </w:p>
    <w:p>
      <w:pPr>
        <w:ind w:firstLine="600" w:firstLineChars="200"/>
        <w:rPr>
          <w:rFonts w:ascii="仿宋" w:hAnsi="仿宋" w:eastAsia="仿宋"/>
          <w:sz w:val="30"/>
          <w:szCs w:val="30"/>
        </w:rPr>
      </w:pPr>
      <w:r>
        <w:rPr>
          <w:rFonts w:hint="eastAsia" w:ascii="仿宋" w:hAnsi="仿宋" w:eastAsia="仿宋"/>
          <w:sz w:val="30"/>
          <w:szCs w:val="30"/>
        </w:rPr>
        <w:t>（六）检查人员须到《药品经营许可证》核准的注册地址和仓库地址进行现场检查。</w:t>
      </w:r>
    </w:p>
    <w:p>
      <w:pPr>
        <w:ind w:firstLine="600" w:firstLineChars="200"/>
        <w:rPr>
          <w:rFonts w:ascii="仿宋" w:hAnsi="仿宋" w:eastAsia="仿宋"/>
          <w:sz w:val="30"/>
          <w:szCs w:val="30"/>
        </w:rPr>
      </w:pPr>
      <w:r>
        <w:rPr>
          <w:rFonts w:hint="eastAsia" w:ascii="仿宋" w:hAnsi="仿宋" w:eastAsia="仿宋"/>
          <w:sz w:val="30"/>
          <w:szCs w:val="30"/>
        </w:rPr>
        <w:t>（七）对缺陷项目，特别是严重缺陷项目和主要缺陷项目的判定，要利用风险管理的有关规定进行评估。</w:t>
      </w:r>
    </w:p>
    <w:p>
      <w:pPr>
        <w:ind w:firstLine="600" w:firstLineChars="200"/>
        <w:rPr>
          <w:rFonts w:ascii="仿宋" w:hAnsi="仿宋" w:eastAsia="仿宋"/>
          <w:sz w:val="30"/>
          <w:szCs w:val="30"/>
        </w:rPr>
      </w:pPr>
      <w:r>
        <w:rPr>
          <w:rFonts w:hint="eastAsia" w:ascii="仿宋" w:hAnsi="仿宋" w:eastAsia="仿宋"/>
          <w:sz w:val="30"/>
          <w:szCs w:val="30"/>
        </w:rPr>
        <w:t>（八）在检查过程中发现违法线索需要跨行政区域开展延伸检查的，联系</w:t>
      </w:r>
      <w:r>
        <w:rPr>
          <w:rFonts w:hint="eastAsia" w:ascii="仿宋" w:hAnsi="仿宋" w:eastAsia="仿宋"/>
          <w:sz w:val="30"/>
          <w:szCs w:val="30"/>
          <w:lang w:eastAsia="zh-CN"/>
        </w:rPr>
        <w:t>市局</w:t>
      </w:r>
      <w:r>
        <w:rPr>
          <w:rFonts w:hint="eastAsia" w:ascii="仿宋" w:hAnsi="仿宋" w:eastAsia="仿宋"/>
          <w:sz w:val="30"/>
          <w:szCs w:val="30"/>
        </w:rPr>
        <w:t>流通科相关联系人协助解决。</w:t>
      </w:r>
    </w:p>
    <w:p>
      <w:pPr>
        <w:ind w:firstLine="600" w:firstLineChars="200"/>
        <w:rPr>
          <w:rFonts w:ascii="仿宋" w:hAnsi="仿宋" w:eastAsia="仿宋"/>
          <w:sz w:val="30"/>
          <w:szCs w:val="30"/>
        </w:rPr>
      </w:pPr>
      <w:r>
        <w:rPr>
          <w:rFonts w:hint="eastAsia" w:ascii="仿宋" w:hAnsi="仿宋" w:eastAsia="仿宋"/>
          <w:sz w:val="30"/>
          <w:szCs w:val="30"/>
        </w:rPr>
        <w:t>（九）要按时、按量、按要求完成跟踪检查工作。</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ind w:firstLine="600" w:firstLineChars="200"/>
        <w:rPr>
          <w:rFonts w:ascii="仿宋" w:hAnsi="仿宋" w:eastAsia="仿宋"/>
          <w:sz w:val="30"/>
          <w:szCs w:val="30"/>
        </w:rPr>
      </w:pP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C1"/>
    <w:rsid w:val="00004009"/>
    <w:rsid w:val="000D1D37"/>
    <w:rsid w:val="00114737"/>
    <w:rsid w:val="00147AB1"/>
    <w:rsid w:val="00181162"/>
    <w:rsid w:val="001F3E51"/>
    <w:rsid w:val="00202211"/>
    <w:rsid w:val="00291979"/>
    <w:rsid w:val="003A0A6A"/>
    <w:rsid w:val="003D41B5"/>
    <w:rsid w:val="00422104"/>
    <w:rsid w:val="004330EB"/>
    <w:rsid w:val="00437B97"/>
    <w:rsid w:val="0045221D"/>
    <w:rsid w:val="0049364B"/>
    <w:rsid w:val="00510023"/>
    <w:rsid w:val="00531E81"/>
    <w:rsid w:val="00551CC1"/>
    <w:rsid w:val="00616C42"/>
    <w:rsid w:val="00681E69"/>
    <w:rsid w:val="006E06B7"/>
    <w:rsid w:val="007836F4"/>
    <w:rsid w:val="00784835"/>
    <w:rsid w:val="007913F9"/>
    <w:rsid w:val="00797E88"/>
    <w:rsid w:val="007A007D"/>
    <w:rsid w:val="007C0AAE"/>
    <w:rsid w:val="007D4E58"/>
    <w:rsid w:val="009A040D"/>
    <w:rsid w:val="00A324CF"/>
    <w:rsid w:val="00A55325"/>
    <w:rsid w:val="00AA7175"/>
    <w:rsid w:val="00B15DD1"/>
    <w:rsid w:val="00B532AA"/>
    <w:rsid w:val="00CB5C45"/>
    <w:rsid w:val="00DC2029"/>
    <w:rsid w:val="00EF78D5"/>
    <w:rsid w:val="00F12C05"/>
    <w:rsid w:val="00F30E7C"/>
    <w:rsid w:val="065A7986"/>
    <w:rsid w:val="1A691068"/>
    <w:rsid w:val="20E431EF"/>
    <w:rsid w:val="266E4236"/>
    <w:rsid w:val="35695186"/>
    <w:rsid w:val="51A70377"/>
    <w:rsid w:val="5C1B0060"/>
    <w:rsid w:val="5D7729DE"/>
    <w:rsid w:val="5F13543B"/>
    <w:rsid w:val="6B705F5B"/>
    <w:rsid w:val="6C0C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line="500" w:lineRule="exact"/>
      <w:jc w:val="center"/>
    </w:pPr>
    <w:rPr>
      <w:rFonts w:ascii="Times New Roman" w:hAnsi="Times New Roman" w:eastAsia="黑体" w:cs="Times New Roman"/>
      <w:w w:val="90"/>
      <w:sz w:val="30"/>
      <w:szCs w:val="24"/>
    </w:rPr>
  </w:style>
  <w:style w:type="paragraph" w:styleId="3">
    <w:name w:val="Date"/>
    <w:basedOn w:val="1"/>
    <w:next w:val="1"/>
    <w:link w:val="8"/>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3"/>
    <w:semiHidden/>
    <w:qFormat/>
    <w:uiPriority w:val="99"/>
  </w:style>
  <w:style w:type="paragraph" w:customStyle="1"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 w:val="32"/>
      <w:szCs w:val="32"/>
    </w:rPr>
  </w:style>
  <w:style w:type="character" w:customStyle="1" w:styleId="13">
    <w:name w:val="正文文本 Char"/>
    <w:basedOn w:val="6"/>
    <w:link w:val="2"/>
    <w:qFormat/>
    <w:uiPriority w:val="0"/>
    <w:rPr>
      <w:rFonts w:ascii="Times New Roman" w:hAnsi="Times New Roman" w:eastAsia="黑体" w:cs="Times New Roman"/>
      <w:w w:val="90"/>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380</Words>
  <Characters>2168</Characters>
  <Lines>18</Lines>
  <Paragraphs>5</Paragraphs>
  <ScaleCrop>false</ScaleCrop>
  <LinksUpToDate>false</LinksUpToDate>
  <CharactersWithSpaces>2543</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2017-02-20T01:06:00Z</dcterms:created>
  <dc:creator>admin001</dc:creator>
  <cp:lastModifiedBy>5621525</cp:lastModifiedBy>
  <cp:lastPrinted>2017-02-16T01:24:00Z</cp:lastPrinted>
  <dcterms:modified xsi:type="dcterms:W3CDTF">2017-07-13T00:29:29Z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