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AEE2BA">
      <w:pPr>
        <w:pStyle w:val="7"/>
        <w:keepNext w:val="0"/>
        <w:keepLines w:val="0"/>
        <w:pageBreakBefore w:val="0"/>
        <w:widowControl/>
        <w:kinsoku/>
        <w:wordWrap/>
        <w:overflowPunct/>
        <w:topLinePunct w:val="0"/>
        <w:autoSpaceDE w:val="0"/>
        <w:autoSpaceDN w:val="0"/>
        <w:bidi w:val="0"/>
        <w:adjustRightInd/>
        <w:snapToGrid/>
        <w:ind w:left="0" w:leftChars="0" w:firstLine="0" w:firstLineChars="0"/>
        <w:jc w:val="center"/>
        <w:textAlignment w:val="auto"/>
        <w:rPr>
          <w:rFonts w:hint="eastAsia" w:ascii="宋体" w:hAnsi="宋体" w:eastAsia="宋体" w:cs="宋体"/>
          <w:b w:val="0"/>
          <w:bCs w:val="0"/>
          <w:i w:val="0"/>
          <w:iCs w:val="0"/>
          <w:color w:val="auto"/>
          <w:sz w:val="48"/>
          <w:szCs w:val="48"/>
          <w:highlight w:val="none"/>
          <w:lang w:val="en-US" w:eastAsia="zh-CN"/>
        </w:rPr>
      </w:pPr>
    </w:p>
    <w:p w14:paraId="0CD8D6E3">
      <w:pPr>
        <w:pStyle w:val="7"/>
        <w:keepNext w:val="0"/>
        <w:keepLines w:val="0"/>
        <w:pageBreakBefore w:val="0"/>
        <w:widowControl/>
        <w:kinsoku/>
        <w:wordWrap/>
        <w:overflowPunct/>
        <w:topLinePunct w:val="0"/>
        <w:autoSpaceDE w:val="0"/>
        <w:autoSpaceDN w:val="0"/>
        <w:bidi w:val="0"/>
        <w:adjustRightInd/>
        <w:snapToGrid/>
        <w:ind w:left="0" w:leftChars="0" w:firstLine="0" w:firstLineChars="0"/>
        <w:jc w:val="center"/>
        <w:textAlignment w:val="auto"/>
        <w:rPr>
          <w:rFonts w:hint="eastAsia" w:ascii="宋体" w:hAnsi="宋体" w:eastAsia="宋体" w:cs="宋体"/>
          <w:b w:val="0"/>
          <w:bCs w:val="0"/>
          <w:i w:val="0"/>
          <w:iCs w:val="0"/>
          <w:color w:val="auto"/>
          <w:sz w:val="48"/>
          <w:szCs w:val="48"/>
          <w:highlight w:val="none"/>
          <w:lang w:val="en-US" w:eastAsia="zh-CN"/>
        </w:rPr>
      </w:pPr>
    </w:p>
    <w:p w14:paraId="31AF52A1">
      <w:pPr>
        <w:pStyle w:val="7"/>
        <w:keepNext w:val="0"/>
        <w:keepLines w:val="0"/>
        <w:pageBreakBefore w:val="0"/>
        <w:widowControl/>
        <w:kinsoku/>
        <w:wordWrap/>
        <w:overflowPunct/>
        <w:topLinePunct w:val="0"/>
        <w:autoSpaceDE w:val="0"/>
        <w:autoSpaceDN w:val="0"/>
        <w:bidi w:val="0"/>
        <w:adjustRightInd/>
        <w:snapToGrid/>
        <w:ind w:left="0" w:leftChars="0" w:firstLine="0" w:firstLineChars="0"/>
        <w:jc w:val="center"/>
        <w:textAlignment w:val="auto"/>
        <w:rPr>
          <w:rFonts w:hint="eastAsia" w:cs="宋体"/>
          <w:b/>
          <w:bCs/>
          <w:i w:val="0"/>
          <w:iCs w:val="0"/>
          <w:color w:val="auto"/>
          <w:sz w:val="48"/>
          <w:szCs w:val="48"/>
          <w:highlight w:val="none"/>
          <w:lang w:val="en-US" w:eastAsia="zh-CN"/>
        </w:rPr>
      </w:pPr>
      <w:r>
        <w:rPr>
          <w:rFonts w:hint="eastAsia" w:ascii="宋体" w:hAnsi="宋体" w:eastAsia="宋体" w:cs="宋体"/>
          <w:b/>
          <w:bCs/>
          <w:i w:val="0"/>
          <w:iCs w:val="0"/>
          <w:color w:val="auto"/>
          <w:sz w:val="48"/>
          <w:szCs w:val="48"/>
          <w:highlight w:val="none"/>
          <w:lang w:val="en-US" w:eastAsia="zh-CN"/>
        </w:rPr>
        <w:t>湛江经济技术开发区202</w:t>
      </w:r>
      <w:r>
        <w:rPr>
          <w:rFonts w:hint="eastAsia" w:cs="宋体"/>
          <w:b/>
          <w:bCs/>
          <w:i w:val="0"/>
          <w:iCs w:val="0"/>
          <w:color w:val="auto"/>
          <w:sz w:val="48"/>
          <w:szCs w:val="48"/>
          <w:highlight w:val="none"/>
          <w:lang w:val="en-US" w:eastAsia="zh-CN"/>
        </w:rPr>
        <w:t>6</w:t>
      </w:r>
      <w:r>
        <w:rPr>
          <w:rFonts w:hint="eastAsia" w:ascii="宋体" w:hAnsi="宋体" w:eastAsia="宋体" w:cs="宋体"/>
          <w:b/>
          <w:bCs/>
          <w:i w:val="0"/>
          <w:iCs w:val="0"/>
          <w:color w:val="auto"/>
          <w:sz w:val="48"/>
          <w:szCs w:val="48"/>
          <w:highlight w:val="none"/>
          <w:lang w:val="en-US" w:eastAsia="zh-CN"/>
        </w:rPr>
        <w:t>年</w:t>
      </w:r>
      <w:r>
        <w:rPr>
          <w:rFonts w:hint="eastAsia" w:cs="宋体"/>
          <w:b/>
          <w:bCs/>
          <w:i w:val="0"/>
          <w:iCs w:val="0"/>
          <w:color w:val="auto"/>
          <w:sz w:val="48"/>
          <w:szCs w:val="48"/>
          <w:highlight w:val="none"/>
          <w:lang w:val="en-US" w:eastAsia="zh-CN"/>
        </w:rPr>
        <w:t>森林质量</w:t>
      </w:r>
    </w:p>
    <w:p w14:paraId="1B7BF479">
      <w:pPr>
        <w:pStyle w:val="7"/>
        <w:keepNext w:val="0"/>
        <w:keepLines w:val="0"/>
        <w:pageBreakBefore w:val="0"/>
        <w:widowControl/>
        <w:kinsoku/>
        <w:wordWrap/>
        <w:overflowPunct/>
        <w:topLinePunct w:val="0"/>
        <w:autoSpaceDE w:val="0"/>
        <w:autoSpaceDN w:val="0"/>
        <w:bidi w:val="0"/>
        <w:adjustRightInd/>
        <w:snapToGrid/>
        <w:ind w:left="0" w:leftChars="0" w:firstLine="0" w:firstLineChars="0"/>
        <w:jc w:val="center"/>
        <w:textAlignment w:val="auto"/>
        <w:rPr>
          <w:rFonts w:hint="eastAsia" w:ascii="宋体" w:hAnsi="宋体" w:eastAsia="宋体" w:cs="宋体"/>
          <w:b/>
          <w:bCs/>
          <w:i w:val="0"/>
          <w:iCs w:val="0"/>
          <w:color w:val="auto"/>
          <w:sz w:val="48"/>
          <w:szCs w:val="48"/>
          <w:highlight w:val="none"/>
          <w:lang w:val="en-US" w:eastAsia="zh-CN"/>
        </w:rPr>
      </w:pPr>
      <w:r>
        <w:rPr>
          <w:rFonts w:hint="eastAsia" w:cs="宋体"/>
          <w:b/>
          <w:bCs/>
          <w:i w:val="0"/>
          <w:iCs w:val="0"/>
          <w:color w:val="auto"/>
          <w:sz w:val="48"/>
          <w:szCs w:val="48"/>
          <w:highlight w:val="none"/>
          <w:lang w:val="en-US" w:eastAsia="zh-CN"/>
        </w:rPr>
        <w:t>精准提升（</w:t>
      </w:r>
      <w:r>
        <w:rPr>
          <w:rFonts w:hint="eastAsia" w:ascii="宋体" w:hAnsi="宋体" w:eastAsia="宋体" w:cs="宋体"/>
          <w:b/>
          <w:bCs/>
          <w:i w:val="0"/>
          <w:iCs w:val="0"/>
          <w:color w:val="auto"/>
          <w:sz w:val="48"/>
          <w:szCs w:val="48"/>
          <w:highlight w:val="none"/>
          <w:lang w:val="en-US" w:eastAsia="zh-CN"/>
        </w:rPr>
        <w:t>新造林抚育</w:t>
      </w:r>
      <w:r>
        <w:rPr>
          <w:rFonts w:hint="eastAsia" w:cs="宋体"/>
          <w:b/>
          <w:bCs/>
          <w:i w:val="0"/>
          <w:iCs w:val="0"/>
          <w:color w:val="auto"/>
          <w:sz w:val="48"/>
          <w:szCs w:val="48"/>
          <w:highlight w:val="none"/>
          <w:lang w:val="en-US" w:eastAsia="zh-CN"/>
        </w:rPr>
        <w:t>）</w:t>
      </w:r>
      <w:r>
        <w:rPr>
          <w:rFonts w:hint="eastAsia" w:ascii="宋体" w:hAnsi="宋体" w:eastAsia="宋体" w:cs="宋体"/>
          <w:b/>
          <w:bCs/>
          <w:i w:val="0"/>
          <w:iCs w:val="0"/>
          <w:color w:val="auto"/>
          <w:sz w:val="48"/>
          <w:szCs w:val="48"/>
          <w:highlight w:val="none"/>
          <w:lang w:val="en-US" w:eastAsia="zh-CN"/>
        </w:rPr>
        <w:t>项目</w:t>
      </w:r>
    </w:p>
    <w:p w14:paraId="02E6AE2D">
      <w:pPr>
        <w:pStyle w:val="7"/>
        <w:keepNext w:val="0"/>
        <w:keepLines w:val="0"/>
        <w:pageBreakBefore w:val="0"/>
        <w:widowControl/>
        <w:kinsoku/>
        <w:wordWrap/>
        <w:overflowPunct/>
        <w:topLinePunct w:val="0"/>
        <w:autoSpaceDE w:val="0"/>
        <w:autoSpaceDN w:val="0"/>
        <w:bidi w:val="0"/>
        <w:adjustRightInd/>
        <w:snapToGrid/>
        <w:ind w:left="0" w:leftChars="0" w:firstLine="0" w:firstLineChars="0"/>
        <w:jc w:val="center"/>
        <w:textAlignment w:val="auto"/>
        <w:rPr>
          <w:rFonts w:hint="eastAsia" w:ascii="宋体" w:hAnsi="宋体" w:eastAsia="宋体" w:cs="宋体"/>
          <w:b/>
          <w:bCs/>
          <w:i w:val="0"/>
          <w:iCs w:val="0"/>
          <w:color w:val="auto"/>
          <w:sz w:val="48"/>
          <w:szCs w:val="48"/>
          <w:highlight w:val="none"/>
          <w:lang w:val="en-US" w:eastAsia="zh-CN"/>
        </w:rPr>
      </w:pPr>
    </w:p>
    <w:p w14:paraId="74B590E6">
      <w:pPr>
        <w:pStyle w:val="7"/>
        <w:keepNext w:val="0"/>
        <w:keepLines w:val="0"/>
        <w:pageBreakBefore w:val="0"/>
        <w:widowControl/>
        <w:kinsoku/>
        <w:wordWrap/>
        <w:overflowPunct/>
        <w:topLinePunct w:val="0"/>
        <w:autoSpaceDE w:val="0"/>
        <w:autoSpaceDN w:val="0"/>
        <w:bidi w:val="0"/>
        <w:adjustRightInd/>
        <w:snapToGrid/>
        <w:ind w:left="0" w:leftChars="0" w:firstLine="0" w:firstLineChars="0"/>
        <w:jc w:val="center"/>
        <w:textAlignment w:val="auto"/>
        <w:rPr>
          <w:rFonts w:hint="eastAsia" w:ascii="宋体" w:hAnsi="宋体" w:eastAsia="宋体" w:cs="宋体"/>
          <w:b/>
          <w:bCs/>
          <w:i w:val="0"/>
          <w:iCs w:val="0"/>
          <w:color w:val="auto"/>
          <w:sz w:val="48"/>
          <w:szCs w:val="48"/>
          <w:highlight w:val="none"/>
          <w:lang w:val="en-US" w:eastAsia="zh-CN"/>
        </w:rPr>
      </w:pPr>
    </w:p>
    <w:p w14:paraId="7D99DD01">
      <w:pPr>
        <w:pStyle w:val="7"/>
        <w:keepNext w:val="0"/>
        <w:keepLines w:val="0"/>
        <w:pageBreakBefore w:val="0"/>
        <w:widowControl/>
        <w:kinsoku/>
        <w:wordWrap/>
        <w:overflowPunct/>
        <w:topLinePunct w:val="0"/>
        <w:autoSpaceDE w:val="0"/>
        <w:autoSpaceDN w:val="0"/>
        <w:bidi w:val="0"/>
        <w:adjustRightInd/>
        <w:snapToGrid/>
        <w:ind w:left="0" w:leftChars="0" w:firstLine="0" w:firstLineChars="0"/>
        <w:jc w:val="center"/>
        <w:textAlignment w:val="auto"/>
        <w:rPr>
          <w:rFonts w:hint="eastAsia" w:ascii="宋体" w:hAnsi="宋体" w:eastAsia="宋体" w:cs="宋体"/>
          <w:b/>
          <w:bCs/>
          <w:i w:val="0"/>
          <w:iCs w:val="0"/>
          <w:color w:val="auto"/>
          <w:sz w:val="48"/>
          <w:szCs w:val="48"/>
          <w:highlight w:val="none"/>
          <w:lang w:val="en-US" w:eastAsia="zh-CN"/>
        </w:rPr>
      </w:pPr>
    </w:p>
    <w:p w14:paraId="2BE4C07E">
      <w:pPr>
        <w:pStyle w:val="7"/>
        <w:keepNext w:val="0"/>
        <w:keepLines w:val="0"/>
        <w:pageBreakBefore w:val="0"/>
        <w:widowControl/>
        <w:kinsoku/>
        <w:wordWrap/>
        <w:overflowPunct/>
        <w:topLinePunct w:val="0"/>
        <w:autoSpaceDE w:val="0"/>
        <w:autoSpaceDN w:val="0"/>
        <w:bidi w:val="0"/>
        <w:adjustRightInd/>
        <w:snapToGrid/>
        <w:ind w:left="0" w:leftChars="0" w:firstLine="0" w:firstLineChars="0"/>
        <w:jc w:val="center"/>
        <w:textAlignment w:val="auto"/>
        <w:rPr>
          <w:rFonts w:hint="eastAsia" w:cs="宋体"/>
          <w:b/>
          <w:bCs/>
          <w:i w:val="0"/>
          <w:iCs w:val="0"/>
          <w:color w:val="auto"/>
          <w:sz w:val="48"/>
          <w:szCs w:val="48"/>
          <w:highlight w:val="none"/>
          <w:lang w:val="en-US" w:eastAsia="zh-CN"/>
        </w:rPr>
      </w:pPr>
      <w:r>
        <w:rPr>
          <w:rFonts w:hint="eastAsia" w:cs="宋体"/>
          <w:b/>
          <w:bCs/>
          <w:i w:val="0"/>
          <w:iCs w:val="0"/>
          <w:color w:val="auto"/>
          <w:sz w:val="48"/>
          <w:szCs w:val="48"/>
          <w:highlight w:val="none"/>
          <w:lang w:val="en-US" w:eastAsia="zh-CN"/>
        </w:rPr>
        <w:t>采</w:t>
      </w:r>
    </w:p>
    <w:p w14:paraId="530BA5F5">
      <w:pPr>
        <w:pStyle w:val="7"/>
        <w:keepNext w:val="0"/>
        <w:keepLines w:val="0"/>
        <w:pageBreakBefore w:val="0"/>
        <w:widowControl/>
        <w:kinsoku/>
        <w:wordWrap/>
        <w:overflowPunct/>
        <w:topLinePunct w:val="0"/>
        <w:autoSpaceDE w:val="0"/>
        <w:autoSpaceDN w:val="0"/>
        <w:bidi w:val="0"/>
        <w:adjustRightInd/>
        <w:snapToGrid/>
        <w:ind w:left="0" w:leftChars="0" w:firstLine="0" w:firstLineChars="0"/>
        <w:jc w:val="center"/>
        <w:textAlignment w:val="auto"/>
        <w:rPr>
          <w:rFonts w:hint="eastAsia" w:cs="宋体"/>
          <w:b/>
          <w:bCs/>
          <w:i w:val="0"/>
          <w:iCs w:val="0"/>
          <w:color w:val="auto"/>
          <w:sz w:val="48"/>
          <w:szCs w:val="48"/>
          <w:highlight w:val="none"/>
          <w:lang w:val="en-US" w:eastAsia="zh-CN"/>
        </w:rPr>
      </w:pPr>
    </w:p>
    <w:p w14:paraId="227CAC19">
      <w:pPr>
        <w:pStyle w:val="7"/>
        <w:keepNext w:val="0"/>
        <w:keepLines w:val="0"/>
        <w:pageBreakBefore w:val="0"/>
        <w:widowControl/>
        <w:kinsoku/>
        <w:wordWrap/>
        <w:overflowPunct/>
        <w:topLinePunct w:val="0"/>
        <w:autoSpaceDE w:val="0"/>
        <w:autoSpaceDN w:val="0"/>
        <w:bidi w:val="0"/>
        <w:adjustRightInd/>
        <w:snapToGrid/>
        <w:ind w:left="0" w:leftChars="0" w:firstLine="0" w:firstLineChars="0"/>
        <w:jc w:val="center"/>
        <w:textAlignment w:val="auto"/>
        <w:rPr>
          <w:rFonts w:hint="eastAsia" w:cs="宋体"/>
          <w:b/>
          <w:bCs/>
          <w:i w:val="0"/>
          <w:iCs w:val="0"/>
          <w:color w:val="auto"/>
          <w:sz w:val="48"/>
          <w:szCs w:val="48"/>
          <w:highlight w:val="none"/>
          <w:lang w:val="en-US" w:eastAsia="zh-CN"/>
        </w:rPr>
      </w:pPr>
      <w:r>
        <w:rPr>
          <w:rFonts w:hint="eastAsia" w:cs="宋体"/>
          <w:b/>
          <w:bCs/>
          <w:i w:val="0"/>
          <w:iCs w:val="0"/>
          <w:color w:val="auto"/>
          <w:sz w:val="48"/>
          <w:szCs w:val="48"/>
          <w:highlight w:val="none"/>
          <w:lang w:val="en-US" w:eastAsia="zh-CN"/>
        </w:rPr>
        <w:t>购</w:t>
      </w:r>
    </w:p>
    <w:p w14:paraId="1F031BB3">
      <w:pPr>
        <w:pStyle w:val="7"/>
        <w:keepNext w:val="0"/>
        <w:keepLines w:val="0"/>
        <w:pageBreakBefore w:val="0"/>
        <w:widowControl/>
        <w:kinsoku/>
        <w:wordWrap/>
        <w:overflowPunct/>
        <w:topLinePunct w:val="0"/>
        <w:autoSpaceDE w:val="0"/>
        <w:autoSpaceDN w:val="0"/>
        <w:bidi w:val="0"/>
        <w:adjustRightInd/>
        <w:snapToGrid/>
        <w:ind w:left="0" w:leftChars="0" w:firstLine="0" w:firstLineChars="0"/>
        <w:jc w:val="center"/>
        <w:textAlignment w:val="auto"/>
        <w:rPr>
          <w:rFonts w:hint="eastAsia" w:cs="宋体"/>
          <w:b/>
          <w:bCs/>
          <w:i w:val="0"/>
          <w:iCs w:val="0"/>
          <w:color w:val="auto"/>
          <w:sz w:val="48"/>
          <w:szCs w:val="48"/>
          <w:highlight w:val="none"/>
          <w:lang w:val="en-US" w:eastAsia="zh-CN"/>
        </w:rPr>
      </w:pPr>
    </w:p>
    <w:p w14:paraId="24C78A36">
      <w:pPr>
        <w:pStyle w:val="7"/>
        <w:keepNext w:val="0"/>
        <w:keepLines w:val="0"/>
        <w:pageBreakBefore w:val="0"/>
        <w:widowControl/>
        <w:kinsoku/>
        <w:wordWrap/>
        <w:overflowPunct/>
        <w:topLinePunct w:val="0"/>
        <w:autoSpaceDE w:val="0"/>
        <w:autoSpaceDN w:val="0"/>
        <w:bidi w:val="0"/>
        <w:adjustRightInd/>
        <w:snapToGrid/>
        <w:ind w:left="0" w:leftChars="0" w:firstLine="0" w:firstLineChars="0"/>
        <w:jc w:val="center"/>
        <w:textAlignment w:val="auto"/>
        <w:rPr>
          <w:rFonts w:hint="eastAsia" w:cs="宋体"/>
          <w:b/>
          <w:bCs/>
          <w:i w:val="0"/>
          <w:iCs w:val="0"/>
          <w:color w:val="auto"/>
          <w:sz w:val="48"/>
          <w:szCs w:val="48"/>
          <w:highlight w:val="none"/>
          <w:lang w:val="en-US" w:eastAsia="zh-CN"/>
        </w:rPr>
      </w:pPr>
      <w:r>
        <w:rPr>
          <w:rFonts w:hint="eastAsia" w:cs="宋体"/>
          <w:b/>
          <w:bCs/>
          <w:i w:val="0"/>
          <w:iCs w:val="0"/>
          <w:color w:val="auto"/>
          <w:sz w:val="48"/>
          <w:szCs w:val="48"/>
          <w:highlight w:val="none"/>
          <w:lang w:val="en-US" w:eastAsia="zh-CN"/>
        </w:rPr>
        <w:t>需</w:t>
      </w:r>
    </w:p>
    <w:p w14:paraId="19944145">
      <w:pPr>
        <w:pStyle w:val="7"/>
        <w:keepNext w:val="0"/>
        <w:keepLines w:val="0"/>
        <w:pageBreakBefore w:val="0"/>
        <w:widowControl/>
        <w:kinsoku/>
        <w:wordWrap/>
        <w:overflowPunct/>
        <w:topLinePunct w:val="0"/>
        <w:autoSpaceDE w:val="0"/>
        <w:autoSpaceDN w:val="0"/>
        <w:bidi w:val="0"/>
        <w:adjustRightInd/>
        <w:snapToGrid/>
        <w:ind w:left="0" w:leftChars="0" w:firstLine="0" w:firstLineChars="0"/>
        <w:jc w:val="center"/>
        <w:textAlignment w:val="auto"/>
        <w:rPr>
          <w:rFonts w:hint="eastAsia" w:cs="宋体"/>
          <w:b/>
          <w:bCs/>
          <w:i w:val="0"/>
          <w:iCs w:val="0"/>
          <w:color w:val="auto"/>
          <w:sz w:val="48"/>
          <w:szCs w:val="48"/>
          <w:highlight w:val="none"/>
          <w:lang w:val="en-US" w:eastAsia="zh-CN"/>
        </w:rPr>
      </w:pPr>
    </w:p>
    <w:p w14:paraId="0A92FA3D">
      <w:pPr>
        <w:pStyle w:val="7"/>
        <w:keepNext w:val="0"/>
        <w:keepLines w:val="0"/>
        <w:pageBreakBefore w:val="0"/>
        <w:widowControl/>
        <w:kinsoku/>
        <w:wordWrap/>
        <w:overflowPunct/>
        <w:topLinePunct w:val="0"/>
        <w:autoSpaceDE w:val="0"/>
        <w:autoSpaceDN w:val="0"/>
        <w:bidi w:val="0"/>
        <w:adjustRightInd/>
        <w:snapToGrid/>
        <w:ind w:left="0" w:leftChars="0" w:firstLine="0" w:firstLineChars="0"/>
        <w:jc w:val="center"/>
        <w:textAlignment w:val="auto"/>
        <w:rPr>
          <w:rFonts w:hint="eastAsia" w:cs="宋体"/>
          <w:b/>
          <w:bCs/>
          <w:i w:val="0"/>
          <w:iCs w:val="0"/>
          <w:color w:val="auto"/>
          <w:sz w:val="48"/>
          <w:szCs w:val="48"/>
          <w:highlight w:val="none"/>
          <w:lang w:val="en-US" w:eastAsia="zh-CN"/>
        </w:rPr>
      </w:pPr>
      <w:r>
        <w:rPr>
          <w:rFonts w:hint="eastAsia" w:cs="宋体"/>
          <w:b/>
          <w:bCs/>
          <w:i w:val="0"/>
          <w:iCs w:val="0"/>
          <w:color w:val="auto"/>
          <w:sz w:val="48"/>
          <w:szCs w:val="48"/>
          <w:highlight w:val="none"/>
          <w:lang w:val="en-US" w:eastAsia="zh-CN"/>
        </w:rPr>
        <w:t>求</w:t>
      </w:r>
    </w:p>
    <w:p w14:paraId="382EA8C3">
      <w:pPr>
        <w:pStyle w:val="7"/>
        <w:keepNext w:val="0"/>
        <w:keepLines w:val="0"/>
        <w:pageBreakBefore w:val="0"/>
        <w:widowControl/>
        <w:kinsoku/>
        <w:wordWrap/>
        <w:overflowPunct/>
        <w:topLinePunct w:val="0"/>
        <w:autoSpaceDE w:val="0"/>
        <w:autoSpaceDN w:val="0"/>
        <w:bidi w:val="0"/>
        <w:adjustRightInd/>
        <w:snapToGrid/>
        <w:ind w:left="0" w:leftChars="0" w:firstLine="0" w:firstLineChars="0"/>
        <w:jc w:val="center"/>
        <w:textAlignment w:val="auto"/>
        <w:rPr>
          <w:rFonts w:hint="eastAsia" w:cs="宋体"/>
          <w:b/>
          <w:bCs/>
          <w:i w:val="0"/>
          <w:iCs w:val="0"/>
          <w:color w:val="auto"/>
          <w:sz w:val="48"/>
          <w:szCs w:val="48"/>
          <w:highlight w:val="none"/>
          <w:lang w:val="en-US" w:eastAsia="zh-CN"/>
        </w:rPr>
      </w:pPr>
    </w:p>
    <w:p w14:paraId="0895E768">
      <w:pPr>
        <w:pStyle w:val="7"/>
        <w:keepNext w:val="0"/>
        <w:keepLines w:val="0"/>
        <w:pageBreakBefore w:val="0"/>
        <w:widowControl/>
        <w:kinsoku/>
        <w:wordWrap/>
        <w:overflowPunct/>
        <w:topLinePunct w:val="0"/>
        <w:autoSpaceDE w:val="0"/>
        <w:autoSpaceDN w:val="0"/>
        <w:bidi w:val="0"/>
        <w:adjustRightInd/>
        <w:snapToGrid/>
        <w:ind w:left="0" w:leftChars="0" w:firstLine="0" w:firstLineChars="0"/>
        <w:jc w:val="center"/>
        <w:textAlignment w:val="auto"/>
        <w:rPr>
          <w:rFonts w:hint="eastAsia" w:cs="宋体"/>
          <w:b/>
          <w:bCs/>
          <w:i w:val="0"/>
          <w:iCs w:val="0"/>
          <w:color w:val="auto"/>
          <w:sz w:val="48"/>
          <w:szCs w:val="48"/>
          <w:highlight w:val="none"/>
          <w:lang w:val="en-US" w:eastAsia="zh-CN"/>
        </w:rPr>
      </w:pPr>
      <w:r>
        <w:rPr>
          <w:rFonts w:hint="eastAsia" w:cs="宋体"/>
          <w:b/>
          <w:bCs/>
          <w:i w:val="0"/>
          <w:iCs w:val="0"/>
          <w:color w:val="auto"/>
          <w:sz w:val="48"/>
          <w:szCs w:val="48"/>
          <w:highlight w:val="none"/>
          <w:lang w:val="en-US" w:eastAsia="zh-CN"/>
        </w:rPr>
        <w:t>书</w:t>
      </w:r>
    </w:p>
    <w:p w14:paraId="27DBEEB2">
      <w:pPr>
        <w:pStyle w:val="7"/>
        <w:keepNext w:val="0"/>
        <w:keepLines w:val="0"/>
        <w:pageBreakBefore w:val="0"/>
        <w:widowControl/>
        <w:kinsoku/>
        <w:wordWrap/>
        <w:overflowPunct/>
        <w:topLinePunct w:val="0"/>
        <w:autoSpaceDE w:val="0"/>
        <w:autoSpaceDN w:val="0"/>
        <w:bidi w:val="0"/>
        <w:adjustRightInd/>
        <w:snapToGrid/>
        <w:ind w:left="0" w:leftChars="0" w:firstLine="0" w:firstLineChars="0"/>
        <w:jc w:val="center"/>
        <w:textAlignment w:val="auto"/>
        <w:rPr>
          <w:rFonts w:hint="eastAsia" w:cs="宋体"/>
          <w:b/>
          <w:bCs/>
          <w:i w:val="0"/>
          <w:iCs w:val="0"/>
          <w:color w:val="auto"/>
          <w:sz w:val="48"/>
          <w:szCs w:val="48"/>
          <w:highlight w:val="none"/>
          <w:lang w:val="en-US" w:eastAsia="zh-CN"/>
        </w:rPr>
      </w:pPr>
    </w:p>
    <w:p w14:paraId="2324FBF9">
      <w:pPr>
        <w:pStyle w:val="7"/>
        <w:keepNext w:val="0"/>
        <w:keepLines w:val="0"/>
        <w:pageBreakBefore w:val="0"/>
        <w:widowControl/>
        <w:kinsoku/>
        <w:wordWrap/>
        <w:overflowPunct/>
        <w:topLinePunct w:val="0"/>
        <w:autoSpaceDE w:val="0"/>
        <w:autoSpaceDN w:val="0"/>
        <w:bidi w:val="0"/>
        <w:adjustRightInd/>
        <w:snapToGrid/>
        <w:ind w:left="0" w:leftChars="0" w:firstLine="0" w:firstLineChars="0"/>
        <w:jc w:val="center"/>
        <w:textAlignment w:val="auto"/>
        <w:rPr>
          <w:rFonts w:hint="eastAsia" w:cs="宋体"/>
          <w:b/>
          <w:bCs/>
          <w:i w:val="0"/>
          <w:iCs w:val="0"/>
          <w:color w:val="auto"/>
          <w:sz w:val="48"/>
          <w:szCs w:val="48"/>
          <w:highlight w:val="none"/>
          <w:lang w:val="en-US" w:eastAsia="zh-CN"/>
        </w:rPr>
      </w:pPr>
    </w:p>
    <w:p w14:paraId="54AC1C0F">
      <w:pPr>
        <w:pStyle w:val="7"/>
        <w:keepNext w:val="0"/>
        <w:keepLines w:val="0"/>
        <w:pageBreakBefore w:val="0"/>
        <w:widowControl/>
        <w:kinsoku/>
        <w:wordWrap/>
        <w:overflowPunct/>
        <w:topLinePunct w:val="0"/>
        <w:autoSpaceDE w:val="0"/>
        <w:autoSpaceDN w:val="0"/>
        <w:bidi w:val="0"/>
        <w:adjustRightInd/>
        <w:snapToGrid/>
        <w:ind w:left="0" w:leftChars="0" w:firstLine="0" w:firstLineChars="0"/>
        <w:jc w:val="center"/>
        <w:textAlignment w:val="auto"/>
        <w:rPr>
          <w:rFonts w:hint="eastAsia" w:cs="宋体"/>
          <w:b/>
          <w:bCs/>
          <w:i w:val="0"/>
          <w:iCs w:val="0"/>
          <w:color w:val="auto"/>
          <w:sz w:val="48"/>
          <w:szCs w:val="48"/>
          <w:highlight w:val="none"/>
          <w:lang w:val="en-US" w:eastAsia="zh-CN"/>
        </w:rPr>
      </w:pPr>
    </w:p>
    <w:p w14:paraId="2DBC3E95">
      <w:pPr>
        <w:spacing w:line="360" w:lineRule="auto"/>
        <w:ind w:firstLine="643" w:firstLineChars="200"/>
        <w:jc w:val="center"/>
        <w:rPr>
          <w:rFonts w:hint="default" w:ascii="Times New Roman" w:hAnsi="宋体" w:eastAsia="宋体" w:cs="Times New Roman"/>
          <w:b/>
          <w:bCs/>
          <w:kern w:val="0"/>
          <w:sz w:val="32"/>
          <w:szCs w:val="32"/>
          <w:highlight w:val="none"/>
          <w:lang w:val="en-US" w:eastAsia="zh-CN" w:bidi="ar-SA"/>
        </w:rPr>
      </w:pPr>
      <w:r>
        <w:rPr>
          <w:rFonts w:hint="eastAsia" w:hAnsi="宋体"/>
          <w:b/>
          <w:bCs/>
          <w:sz w:val="32"/>
          <w:szCs w:val="32"/>
          <w:highlight w:val="none"/>
          <w:lang w:val="en-US" w:eastAsia="zh-CN"/>
        </w:rPr>
        <w:t>采购</w:t>
      </w:r>
      <w:r>
        <w:rPr>
          <w:rFonts w:hint="eastAsia" w:hAnsi="宋体"/>
          <w:b/>
          <w:bCs/>
          <w:sz w:val="32"/>
          <w:szCs w:val="32"/>
          <w:highlight w:val="none"/>
        </w:rPr>
        <w:t>单位 ：</w:t>
      </w:r>
      <w:r>
        <w:rPr>
          <w:rFonts w:hint="eastAsia" w:hAnsi="宋体"/>
          <w:b/>
          <w:bCs/>
          <w:sz w:val="32"/>
          <w:szCs w:val="32"/>
          <w:highlight w:val="none"/>
          <w:lang w:eastAsia="zh-CN"/>
        </w:rPr>
        <w:t>湛江经济技术开发区</w:t>
      </w:r>
      <w:r>
        <w:rPr>
          <w:rFonts w:hint="eastAsia" w:hAnsi="宋体"/>
          <w:b/>
          <w:bCs/>
          <w:sz w:val="32"/>
          <w:szCs w:val="32"/>
          <w:highlight w:val="none"/>
          <w:lang w:val="en-US" w:eastAsia="zh-CN"/>
        </w:rPr>
        <w:t>规划和自然资源局</w:t>
      </w:r>
    </w:p>
    <w:p w14:paraId="3A1EE7AB">
      <w:pPr>
        <w:pStyle w:val="7"/>
        <w:keepNext w:val="0"/>
        <w:keepLines w:val="0"/>
        <w:pageBreakBefore w:val="0"/>
        <w:widowControl/>
        <w:kinsoku/>
        <w:wordWrap/>
        <w:overflowPunct/>
        <w:topLinePunct w:val="0"/>
        <w:autoSpaceDE w:val="0"/>
        <w:autoSpaceDN w:val="0"/>
        <w:bidi w:val="0"/>
        <w:adjustRightInd/>
        <w:snapToGrid/>
        <w:ind w:firstLine="3855" w:firstLineChars="1200"/>
        <w:jc w:val="both"/>
        <w:textAlignment w:val="auto"/>
        <w:rPr>
          <w:rFonts w:hint="default" w:ascii="Times New Roman" w:hAnsi="宋体" w:eastAsia="宋体" w:cs="Times New Roman"/>
          <w:b/>
          <w:bCs/>
          <w:kern w:val="0"/>
          <w:sz w:val="32"/>
          <w:szCs w:val="32"/>
          <w:highlight w:val="none"/>
          <w:lang w:val="en-US" w:eastAsia="zh-CN" w:bidi="ar-SA"/>
        </w:rPr>
        <w:sectPr>
          <w:headerReference r:id="rId3" w:type="default"/>
          <w:pgSz w:w="11906" w:h="16838"/>
          <w:pgMar w:top="1304" w:right="1191" w:bottom="1304" w:left="1191" w:header="397" w:footer="851" w:gutter="0"/>
          <w:pgNumType w:fmt="decimal"/>
          <w:cols w:space="720" w:num="1"/>
          <w:docGrid w:type="lines" w:linePitch="312" w:charSpace="0"/>
        </w:sectPr>
      </w:pPr>
      <w:r>
        <w:rPr>
          <w:rFonts w:hint="eastAsia" w:ascii="Times New Roman" w:hAnsi="宋体" w:eastAsia="宋体" w:cs="Times New Roman"/>
          <w:b/>
          <w:bCs/>
          <w:kern w:val="0"/>
          <w:sz w:val="32"/>
          <w:szCs w:val="32"/>
          <w:highlight w:val="none"/>
          <w:lang w:val="en-US" w:eastAsia="zh-CN" w:bidi="ar-SA"/>
        </w:rPr>
        <w:t>日期：202</w:t>
      </w:r>
      <w:r>
        <w:rPr>
          <w:rFonts w:hint="eastAsia" w:ascii="Times New Roman" w:cs="Times New Roman"/>
          <w:b/>
          <w:bCs/>
          <w:kern w:val="0"/>
          <w:sz w:val="32"/>
          <w:szCs w:val="32"/>
          <w:highlight w:val="none"/>
          <w:lang w:val="en-US" w:eastAsia="zh-CN" w:bidi="ar-SA"/>
        </w:rPr>
        <w:t>6</w:t>
      </w:r>
      <w:r>
        <w:rPr>
          <w:rFonts w:hint="eastAsia" w:ascii="Times New Roman" w:hAnsi="宋体" w:eastAsia="宋体" w:cs="Times New Roman"/>
          <w:b/>
          <w:bCs/>
          <w:kern w:val="0"/>
          <w:sz w:val="32"/>
          <w:szCs w:val="32"/>
          <w:highlight w:val="none"/>
          <w:lang w:val="en-US" w:eastAsia="zh-CN" w:bidi="ar-SA"/>
        </w:rPr>
        <w:t>年0</w:t>
      </w:r>
      <w:r>
        <w:rPr>
          <w:rFonts w:hint="eastAsia" w:ascii="Times New Roman" w:cs="Times New Roman"/>
          <w:b/>
          <w:bCs/>
          <w:kern w:val="0"/>
          <w:sz w:val="32"/>
          <w:szCs w:val="32"/>
          <w:highlight w:val="none"/>
          <w:lang w:val="en-US" w:eastAsia="zh-CN" w:bidi="ar-SA"/>
        </w:rPr>
        <w:t>9</w:t>
      </w:r>
      <w:r>
        <w:rPr>
          <w:rFonts w:hint="eastAsia" w:ascii="Times New Roman" w:hAnsi="宋体" w:eastAsia="宋体" w:cs="Times New Roman"/>
          <w:b/>
          <w:bCs/>
          <w:kern w:val="0"/>
          <w:sz w:val="32"/>
          <w:szCs w:val="32"/>
          <w:highlight w:val="none"/>
          <w:lang w:val="en-US" w:eastAsia="zh-CN" w:bidi="ar-SA"/>
        </w:rPr>
        <w:t>月</w:t>
      </w:r>
    </w:p>
    <w:p w14:paraId="5443A165">
      <w:pPr>
        <w:keepNext w:val="0"/>
        <w:keepLines w:val="0"/>
        <w:widowControl/>
        <w:suppressLineNumbers w:val="0"/>
        <w:jc w:val="left"/>
      </w:pPr>
      <w:bookmarkStart w:id="0" w:name="_Toc2346"/>
      <w:bookmarkStart w:id="1" w:name="_Toc8174"/>
      <w:bookmarkStart w:id="2" w:name="_Toc31355"/>
      <w:bookmarkStart w:id="3" w:name="_Toc13577"/>
      <w:r>
        <w:rPr>
          <w:rFonts w:ascii="仿宋" w:hAnsi="仿宋" w:eastAsia="仿宋" w:cs="仿宋"/>
          <w:b/>
          <w:bCs/>
          <w:color w:val="000000"/>
          <w:kern w:val="0"/>
          <w:sz w:val="31"/>
          <w:szCs w:val="31"/>
          <w:lang w:val="en-US" w:eastAsia="zh-CN" w:bidi="ar"/>
        </w:rPr>
        <w:t>一、项目区基本情况</w:t>
      </w:r>
    </w:p>
    <w:p w14:paraId="79C8D26E">
      <w:pPr>
        <w:keepNext w:val="0"/>
        <w:keepLines w:val="0"/>
        <w:pageBreakBefore w:val="0"/>
        <w:widowControl/>
        <w:numPr>
          <w:ilvl w:val="0"/>
          <w:numId w:val="0"/>
        </w:numPr>
        <w:kinsoku/>
        <w:wordWrap/>
        <w:overflowPunct/>
        <w:topLinePunct w:val="0"/>
        <w:autoSpaceDE/>
        <w:autoSpaceDN/>
        <w:bidi w:val="0"/>
        <w:adjustRightInd/>
        <w:snapToGrid/>
        <w:spacing w:line="360" w:lineRule="auto"/>
        <w:textAlignment w:val="auto"/>
        <w:rPr>
          <w:rFonts w:hint="default" w:ascii="宋体"/>
          <w:b w:val="0"/>
          <w:bCs w:val="0"/>
          <w:color w:val="000000"/>
          <w:sz w:val="21"/>
          <w:szCs w:val="21"/>
          <w:lang w:val="en-US" w:eastAsia="zh-CN"/>
        </w:rPr>
      </w:pPr>
      <w:r>
        <w:rPr>
          <w:rFonts w:hint="eastAsia" w:ascii="宋体"/>
          <w:b w:val="0"/>
          <w:bCs w:val="0"/>
          <w:color w:val="000000"/>
          <w:sz w:val="21"/>
          <w:szCs w:val="21"/>
          <w:lang w:val="en-US" w:eastAsia="zh-CN"/>
        </w:rPr>
        <w:t>1、</w:t>
      </w:r>
      <w:r>
        <w:rPr>
          <w:rFonts w:hint="default" w:ascii="宋体"/>
          <w:b w:val="0"/>
          <w:bCs w:val="0"/>
          <w:color w:val="000000"/>
          <w:sz w:val="21"/>
          <w:szCs w:val="21"/>
          <w:lang w:val="en-US" w:eastAsia="zh-CN"/>
        </w:rPr>
        <w:t>地理位置</w:t>
      </w:r>
      <w:bookmarkEnd w:id="0"/>
    </w:p>
    <w:p w14:paraId="0317F500">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b w:val="0"/>
          <w:bCs w:val="0"/>
          <w:color w:val="000000"/>
          <w:sz w:val="21"/>
          <w:szCs w:val="21"/>
          <w:lang w:val="en-US" w:eastAsia="zh-CN"/>
        </w:rPr>
      </w:pPr>
      <w:bookmarkStart w:id="4" w:name="_Toc28911"/>
      <w:r>
        <w:rPr>
          <w:rFonts w:hint="default" w:ascii="宋体"/>
          <w:b w:val="0"/>
          <w:bCs w:val="0"/>
          <w:color w:val="000000"/>
          <w:sz w:val="21"/>
          <w:szCs w:val="21"/>
          <w:lang w:val="en-US" w:eastAsia="zh-CN"/>
        </w:rPr>
        <w:t>湛江经济技术开发区位于广东省西南部的雷州半岛东北侧，其东 临南海，西靠湛江港湾，与霞山区、赤坎区接壤，拥有蜿蜒的海岸线。 地理坐标介于东经 110°11′-110°37′，北纬 20°51′-21°15′之间。陆地面积 354 平方公里，滩涂面积 115 平方公里。由东海岛、硇洲岛、东头山岛、南屏岛四个海岛组成。其中东海岛陆域面积 286 平方公里，是我国第五大岛屿。该区地处粤港澳大湾区、海南自贸港和北部湾城市群交汇辐射地带，是湛江市向东向南发展的核心区域，也是中国大陆通往东南亚、非洲、大洋洲航程最短的深水港口门户，海陆空交通枢纽地位突出，区位优势显著。</w:t>
      </w:r>
    </w:p>
    <w:bookmarkEnd w:id="4"/>
    <w:p w14:paraId="6048963C">
      <w:pPr>
        <w:keepNext w:val="0"/>
        <w:keepLines w:val="0"/>
        <w:pageBreakBefore w:val="0"/>
        <w:widowControl/>
        <w:numPr>
          <w:ilvl w:val="0"/>
          <w:numId w:val="0"/>
        </w:numPr>
        <w:kinsoku/>
        <w:wordWrap/>
        <w:overflowPunct/>
        <w:topLinePunct w:val="0"/>
        <w:autoSpaceDE/>
        <w:autoSpaceDN/>
        <w:bidi w:val="0"/>
        <w:adjustRightInd/>
        <w:snapToGrid/>
        <w:spacing w:line="360" w:lineRule="auto"/>
        <w:textAlignment w:val="auto"/>
        <w:rPr>
          <w:rFonts w:hint="default" w:ascii="宋体"/>
          <w:b w:val="0"/>
          <w:bCs w:val="0"/>
          <w:color w:val="000000"/>
          <w:sz w:val="21"/>
          <w:szCs w:val="21"/>
          <w:lang w:val="en-US" w:eastAsia="zh-CN"/>
        </w:rPr>
      </w:pPr>
      <w:bookmarkStart w:id="5" w:name="_Toc17480"/>
      <w:r>
        <w:rPr>
          <w:rFonts w:hint="eastAsia" w:ascii="宋体"/>
          <w:b w:val="0"/>
          <w:bCs w:val="0"/>
          <w:color w:val="000000"/>
          <w:sz w:val="21"/>
          <w:szCs w:val="21"/>
          <w:lang w:val="en-US" w:eastAsia="zh-CN"/>
        </w:rPr>
        <w:t>2、</w:t>
      </w:r>
      <w:r>
        <w:rPr>
          <w:rFonts w:hint="default" w:ascii="宋体"/>
          <w:b w:val="0"/>
          <w:bCs w:val="0"/>
          <w:color w:val="000000"/>
          <w:sz w:val="21"/>
          <w:szCs w:val="21"/>
          <w:lang w:val="en-US" w:eastAsia="zh-CN"/>
        </w:rPr>
        <w:t>地形地貌</w:t>
      </w:r>
      <w:bookmarkEnd w:id="5"/>
    </w:p>
    <w:p w14:paraId="073361FF">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b w:val="0"/>
          <w:bCs w:val="0"/>
          <w:color w:val="000000"/>
          <w:sz w:val="21"/>
          <w:szCs w:val="21"/>
          <w:lang w:val="en-US" w:eastAsia="zh-CN"/>
        </w:rPr>
      </w:pPr>
      <w:bookmarkStart w:id="6" w:name="_Toc24372"/>
      <w:r>
        <w:rPr>
          <w:rFonts w:hint="default" w:ascii="宋体"/>
          <w:b w:val="0"/>
          <w:bCs w:val="0"/>
          <w:color w:val="000000"/>
          <w:sz w:val="21"/>
          <w:szCs w:val="21"/>
          <w:lang w:val="en-US" w:eastAsia="zh-CN"/>
        </w:rPr>
        <w:t>区内主岛地形中间高，四周低，四面环海，全区海岸线长 192.48 公里。岛内唯一山岭龙水岭海拔 110.8米，岛内以丘陵台地为主。东海岛龙海天沙滩长 2.8 公里，宽 150～300 米，是中国第一长滩。</w:t>
      </w:r>
    </w:p>
    <w:p w14:paraId="51AF2AFE">
      <w:pPr>
        <w:keepNext w:val="0"/>
        <w:keepLines w:val="0"/>
        <w:pageBreakBefore w:val="0"/>
        <w:widowControl/>
        <w:numPr>
          <w:ilvl w:val="0"/>
          <w:numId w:val="0"/>
        </w:numPr>
        <w:kinsoku/>
        <w:wordWrap/>
        <w:overflowPunct/>
        <w:topLinePunct w:val="0"/>
        <w:autoSpaceDE/>
        <w:autoSpaceDN/>
        <w:bidi w:val="0"/>
        <w:adjustRightInd/>
        <w:snapToGrid/>
        <w:spacing w:line="360" w:lineRule="auto"/>
        <w:textAlignment w:val="auto"/>
        <w:rPr>
          <w:rFonts w:hint="default" w:ascii="宋体"/>
          <w:b w:val="0"/>
          <w:bCs w:val="0"/>
          <w:color w:val="000000"/>
          <w:sz w:val="21"/>
          <w:szCs w:val="21"/>
          <w:lang w:val="en-US" w:eastAsia="zh-CN"/>
        </w:rPr>
      </w:pPr>
      <w:r>
        <w:rPr>
          <w:rFonts w:hint="default" w:ascii="宋体"/>
          <w:b w:val="0"/>
          <w:bCs w:val="0"/>
          <w:color w:val="000000"/>
          <w:sz w:val="21"/>
          <w:szCs w:val="21"/>
          <w:lang w:val="en-US" w:eastAsia="zh-CN"/>
        </w:rPr>
        <w:t xml:space="preserve">3、气候条件 </w:t>
      </w:r>
    </w:p>
    <w:p w14:paraId="5A641D39">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b w:val="0"/>
          <w:bCs w:val="0"/>
          <w:color w:val="000000"/>
          <w:sz w:val="21"/>
          <w:szCs w:val="21"/>
          <w:lang w:val="en-US" w:eastAsia="zh-CN"/>
        </w:rPr>
      </w:pPr>
      <w:r>
        <w:rPr>
          <w:rFonts w:hint="eastAsia" w:ascii="宋体"/>
          <w:b w:val="0"/>
          <w:bCs w:val="0"/>
          <w:color w:val="000000"/>
          <w:sz w:val="21"/>
          <w:szCs w:val="21"/>
          <w:lang w:val="en-US" w:eastAsia="zh-CN"/>
        </w:rPr>
        <w:t xml:space="preserve">项目区属热带海洋性和亚热带过渡性季风气候，受海洋性气候影响，夏长冬暖，雨季长，冬春干湿分明，年平均降雨量 </w:t>
      </w:r>
      <w:r>
        <w:rPr>
          <w:rFonts w:hint="default" w:ascii="宋体"/>
          <w:b w:val="0"/>
          <w:bCs w:val="0"/>
          <w:color w:val="000000"/>
          <w:sz w:val="21"/>
          <w:szCs w:val="21"/>
          <w:lang w:val="en-US" w:eastAsia="zh-CN"/>
        </w:rPr>
        <w:t xml:space="preserve">1600 </w:t>
      </w:r>
      <w:r>
        <w:rPr>
          <w:rFonts w:hint="eastAsia" w:ascii="宋体"/>
          <w:b w:val="0"/>
          <w:bCs w:val="0"/>
          <w:color w:val="000000"/>
          <w:sz w:val="21"/>
          <w:szCs w:val="21"/>
          <w:lang w:val="en-US" w:eastAsia="zh-CN"/>
        </w:rPr>
        <w:t xml:space="preserve">毫米，主要集中在 </w:t>
      </w:r>
      <w:r>
        <w:rPr>
          <w:rFonts w:hint="default" w:ascii="宋体"/>
          <w:b w:val="0"/>
          <w:bCs w:val="0"/>
          <w:color w:val="000000"/>
          <w:sz w:val="21"/>
          <w:szCs w:val="21"/>
          <w:lang w:val="en-US" w:eastAsia="zh-CN"/>
        </w:rPr>
        <w:t xml:space="preserve">5-9 </w:t>
      </w:r>
      <w:r>
        <w:rPr>
          <w:rFonts w:hint="eastAsia" w:ascii="宋体"/>
          <w:b w:val="0"/>
          <w:bCs w:val="0"/>
          <w:color w:val="000000"/>
          <w:sz w:val="21"/>
          <w:szCs w:val="21"/>
          <w:lang w:val="en-US" w:eastAsia="zh-CN"/>
        </w:rPr>
        <w:t xml:space="preserve">月；年平均气温 </w:t>
      </w:r>
      <w:r>
        <w:rPr>
          <w:rFonts w:hint="default" w:ascii="宋体"/>
          <w:b w:val="0"/>
          <w:bCs w:val="0"/>
          <w:color w:val="000000"/>
          <w:sz w:val="21"/>
          <w:szCs w:val="21"/>
          <w:lang w:val="en-US" w:eastAsia="zh-CN"/>
        </w:rPr>
        <w:t>23.0℃</w:t>
      </w:r>
      <w:r>
        <w:rPr>
          <w:rFonts w:hint="eastAsia" w:ascii="宋体"/>
          <w:b w:val="0"/>
          <w:bCs w:val="0"/>
          <w:color w:val="000000"/>
          <w:sz w:val="21"/>
          <w:szCs w:val="21"/>
          <w:lang w:val="en-US" w:eastAsia="zh-CN"/>
        </w:rPr>
        <w:t>，</w:t>
      </w:r>
      <w:r>
        <w:rPr>
          <w:rFonts w:hint="default" w:ascii="宋体"/>
          <w:b w:val="0"/>
          <w:bCs w:val="0"/>
          <w:color w:val="000000"/>
          <w:sz w:val="21"/>
          <w:szCs w:val="21"/>
          <w:lang w:val="en-US" w:eastAsia="zh-CN"/>
        </w:rPr>
        <w:t xml:space="preserve">1 </w:t>
      </w:r>
      <w:r>
        <w:rPr>
          <w:rFonts w:hint="eastAsia" w:ascii="宋体"/>
          <w:b w:val="0"/>
          <w:bCs w:val="0"/>
          <w:color w:val="000000"/>
          <w:sz w:val="21"/>
          <w:szCs w:val="21"/>
          <w:lang w:val="en-US" w:eastAsia="zh-CN"/>
        </w:rPr>
        <w:t xml:space="preserve">月平均气温 </w:t>
      </w:r>
      <w:r>
        <w:rPr>
          <w:rFonts w:hint="default" w:ascii="宋体"/>
          <w:b w:val="0"/>
          <w:bCs w:val="0"/>
          <w:color w:val="000000"/>
          <w:sz w:val="21"/>
          <w:szCs w:val="21"/>
          <w:lang w:val="en-US" w:eastAsia="zh-CN"/>
        </w:rPr>
        <w:t>15.5℃</w:t>
      </w:r>
      <w:r>
        <w:rPr>
          <w:rFonts w:hint="eastAsia" w:ascii="宋体"/>
          <w:b w:val="0"/>
          <w:bCs w:val="0"/>
          <w:color w:val="000000"/>
          <w:sz w:val="21"/>
          <w:szCs w:val="21"/>
          <w:lang w:val="en-US" w:eastAsia="zh-CN"/>
        </w:rPr>
        <w:t>，</w:t>
      </w:r>
      <w:r>
        <w:rPr>
          <w:rFonts w:hint="default" w:ascii="宋体"/>
          <w:b w:val="0"/>
          <w:bCs w:val="0"/>
          <w:color w:val="000000"/>
          <w:sz w:val="21"/>
          <w:szCs w:val="21"/>
          <w:lang w:val="en-US" w:eastAsia="zh-CN"/>
        </w:rPr>
        <w:t xml:space="preserve">7 </w:t>
      </w:r>
      <w:r>
        <w:rPr>
          <w:rFonts w:hint="eastAsia" w:ascii="宋体"/>
          <w:b w:val="0"/>
          <w:bCs w:val="0"/>
          <w:color w:val="000000"/>
          <w:sz w:val="21"/>
          <w:szCs w:val="21"/>
          <w:lang w:val="en-US" w:eastAsia="zh-CN"/>
        </w:rPr>
        <w:t xml:space="preserve">月 平均气温 </w:t>
      </w:r>
      <w:r>
        <w:rPr>
          <w:rFonts w:hint="default" w:ascii="宋体"/>
          <w:b w:val="0"/>
          <w:bCs w:val="0"/>
          <w:color w:val="000000"/>
          <w:sz w:val="21"/>
          <w:szCs w:val="21"/>
          <w:lang w:val="en-US" w:eastAsia="zh-CN"/>
        </w:rPr>
        <w:t>28.5℃</w:t>
      </w:r>
      <w:r>
        <w:rPr>
          <w:rFonts w:hint="eastAsia" w:ascii="宋体"/>
          <w:b w:val="0"/>
          <w:bCs w:val="0"/>
          <w:color w:val="000000"/>
          <w:sz w:val="21"/>
          <w:szCs w:val="21"/>
          <w:lang w:val="en-US" w:eastAsia="zh-CN"/>
        </w:rPr>
        <w:t xml:space="preserve">，气候宜人，但常受台风热带风暴袭击，台风热带风暴每年登陆 </w:t>
      </w:r>
      <w:r>
        <w:rPr>
          <w:rFonts w:hint="default" w:ascii="宋体"/>
          <w:b w:val="0"/>
          <w:bCs w:val="0"/>
          <w:color w:val="000000"/>
          <w:sz w:val="21"/>
          <w:szCs w:val="21"/>
          <w:lang w:val="en-US" w:eastAsia="zh-CN"/>
        </w:rPr>
        <w:t xml:space="preserve">1-3 </w:t>
      </w:r>
      <w:r>
        <w:rPr>
          <w:rFonts w:hint="eastAsia" w:ascii="宋体"/>
          <w:b w:val="0"/>
          <w:bCs w:val="0"/>
          <w:color w:val="000000"/>
          <w:sz w:val="21"/>
          <w:szCs w:val="21"/>
          <w:lang w:val="en-US" w:eastAsia="zh-CN"/>
        </w:rPr>
        <w:t xml:space="preserve">次。潮差大，历年最高潮位 </w:t>
      </w:r>
      <w:r>
        <w:rPr>
          <w:rFonts w:hint="default" w:ascii="宋体"/>
          <w:b w:val="0"/>
          <w:bCs w:val="0"/>
          <w:color w:val="000000"/>
          <w:sz w:val="21"/>
          <w:szCs w:val="21"/>
          <w:lang w:val="en-US" w:eastAsia="zh-CN"/>
        </w:rPr>
        <w:t xml:space="preserve">5.8 </w:t>
      </w:r>
      <w:r>
        <w:rPr>
          <w:rFonts w:hint="eastAsia" w:ascii="宋体"/>
          <w:b w:val="0"/>
          <w:bCs w:val="0"/>
          <w:color w:val="000000"/>
          <w:sz w:val="21"/>
          <w:szCs w:val="21"/>
          <w:lang w:val="en-US" w:eastAsia="zh-CN"/>
        </w:rPr>
        <w:t>米，最低潮位－</w:t>
      </w:r>
      <w:r>
        <w:rPr>
          <w:rFonts w:hint="default" w:ascii="宋体"/>
          <w:b w:val="0"/>
          <w:bCs w:val="0"/>
          <w:color w:val="000000"/>
          <w:sz w:val="21"/>
          <w:szCs w:val="21"/>
          <w:lang w:val="en-US" w:eastAsia="zh-CN"/>
        </w:rPr>
        <w:t>0.02</w:t>
      </w:r>
      <w:r>
        <w:rPr>
          <w:rFonts w:hint="eastAsia" w:ascii="宋体"/>
          <w:b w:val="0"/>
          <w:bCs w:val="0"/>
          <w:color w:val="000000"/>
          <w:sz w:val="21"/>
          <w:szCs w:val="21"/>
          <w:lang w:val="en-US" w:eastAsia="zh-CN"/>
        </w:rPr>
        <w:t xml:space="preserve">米，平均潮差 </w:t>
      </w:r>
      <w:r>
        <w:rPr>
          <w:rFonts w:hint="default" w:ascii="宋体"/>
          <w:b w:val="0"/>
          <w:bCs w:val="0"/>
          <w:color w:val="000000"/>
          <w:sz w:val="21"/>
          <w:szCs w:val="21"/>
          <w:lang w:val="en-US" w:eastAsia="zh-CN"/>
        </w:rPr>
        <w:t xml:space="preserve">2.6 </w:t>
      </w:r>
      <w:r>
        <w:rPr>
          <w:rFonts w:hint="eastAsia" w:ascii="宋体"/>
          <w:b w:val="0"/>
          <w:bCs w:val="0"/>
          <w:color w:val="000000"/>
          <w:sz w:val="21"/>
          <w:szCs w:val="21"/>
          <w:lang w:val="en-US" w:eastAsia="zh-CN"/>
        </w:rPr>
        <w:t xml:space="preserve">米；涨潮慢，退潮快，回淤率只有吞吐量的 </w:t>
      </w:r>
      <w:r>
        <w:rPr>
          <w:rFonts w:hint="default" w:ascii="宋体"/>
          <w:b w:val="0"/>
          <w:bCs w:val="0"/>
          <w:color w:val="000000"/>
          <w:sz w:val="21"/>
          <w:szCs w:val="21"/>
          <w:lang w:val="en-US" w:eastAsia="zh-CN"/>
        </w:rPr>
        <w:t>3%</w:t>
      </w:r>
      <w:r>
        <w:rPr>
          <w:rFonts w:hint="eastAsia" w:ascii="宋体"/>
          <w:b w:val="0"/>
          <w:bCs w:val="0"/>
          <w:color w:val="000000"/>
          <w:sz w:val="21"/>
          <w:szCs w:val="21"/>
          <w:lang w:val="en-US" w:eastAsia="zh-CN"/>
        </w:rPr>
        <w:t>至</w:t>
      </w:r>
      <w:r>
        <w:rPr>
          <w:rFonts w:hint="default" w:ascii="宋体"/>
          <w:b w:val="0"/>
          <w:bCs w:val="0"/>
          <w:color w:val="000000"/>
          <w:sz w:val="21"/>
          <w:szCs w:val="21"/>
          <w:lang w:val="en-US" w:eastAsia="zh-CN"/>
        </w:rPr>
        <w:t>4%</w:t>
      </w:r>
      <w:r>
        <w:rPr>
          <w:rFonts w:hint="eastAsia" w:ascii="宋体"/>
          <w:b w:val="0"/>
          <w:bCs w:val="0"/>
          <w:color w:val="000000"/>
          <w:sz w:val="21"/>
          <w:szCs w:val="21"/>
          <w:lang w:val="en-US" w:eastAsia="zh-CN"/>
        </w:rPr>
        <w:t>。</w:t>
      </w:r>
    </w:p>
    <w:p w14:paraId="4F46A7EF">
      <w:pPr>
        <w:keepNext w:val="0"/>
        <w:keepLines w:val="0"/>
        <w:pageBreakBefore w:val="0"/>
        <w:widowControl/>
        <w:numPr>
          <w:ilvl w:val="0"/>
          <w:numId w:val="0"/>
        </w:numPr>
        <w:kinsoku/>
        <w:wordWrap/>
        <w:overflowPunct/>
        <w:topLinePunct w:val="0"/>
        <w:autoSpaceDE/>
        <w:autoSpaceDN/>
        <w:bidi w:val="0"/>
        <w:adjustRightInd/>
        <w:snapToGrid/>
        <w:spacing w:line="360" w:lineRule="auto"/>
        <w:textAlignment w:val="auto"/>
        <w:rPr>
          <w:rFonts w:hint="default" w:ascii="宋体"/>
          <w:b w:val="0"/>
          <w:bCs w:val="0"/>
          <w:color w:val="000000"/>
          <w:sz w:val="21"/>
          <w:szCs w:val="21"/>
          <w:lang w:val="en-US" w:eastAsia="zh-CN"/>
        </w:rPr>
      </w:pPr>
      <w:r>
        <w:rPr>
          <w:rFonts w:hint="eastAsia" w:ascii="宋体"/>
          <w:b w:val="0"/>
          <w:bCs w:val="0"/>
          <w:color w:val="000000"/>
          <w:sz w:val="21"/>
          <w:szCs w:val="21"/>
          <w:lang w:val="en-US" w:eastAsia="zh-CN"/>
        </w:rPr>
        <w:t>4、</w:t>
      </w:r>
      <w:r>
        <w:rPr>
          <w:rFonts w:hint="default" w:ascii="宋体"/>
          <w:b w:val="0"/>
          <w:bCs w:val="0"/>
          <w:color w:val="000000"/>
          <w:sz w:val="21"/>
          <w:szCs w:val="21"/>
          <w:lang w:val="en-US" w:eastAsia="zh-CN"/>
        </w:rPr>
        <w:t>土壤</w:t>
      </w:r>
      <w:bookmarkEnd w:id="6"/>
      <w:r>
        <w:rPr>
          <w:rFonts w:hint="default" w:ascii="宋体"/>
          <w:b w:val="0"/>
          <w:bCs w:val="0"/>
          <w:color w:val="000000"/>
          <w:sz w:val="21"/>
          <w:szCs w:val="21"/>
          <w:lang w:val="en-US" w:eastAsia="zh-CN"/>
        </w:rPr>
        <w:t>状况</w:t>
      </w:r>
    </w:p>
    <w:p w14:paraId="5EC6E834">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b w:val="0"/>
          <w:bCs w:val="0"/>
          <w:color w:val="000000"/>
          <w:sz w:val="21"/>
          <w:szCs w:val="21"/>
          <w:lang w:val="en-US" w:eastAsia="zh-CN"/>
        </w:rPr>
      </w:pPr>
      <w:r>
        <w:rPr>
          <w:rFonts w:hint="default" w:ascii="宋体"/>
          <w:b w:val="0"/>
          <w:bCs w:val="0"/>
          <w:color w:val="000000"/>
          <w:sz w:val="21"/>
          <w:szCs w:val="21"/>
          <w:lang w:val="en-US" w:eastAsia="zh-CN"/>
        </w:rPr>
        <w:t>项目区主要以花岗岩、砂页岩和浅海沉积物风化而成的砖红壤和由滨海冲积物形成的滨海沙土，土层深厚，质地松散有机质氮磷钾含量偏低，较为瘦瘠。但多数平坦连片，坡度较小，可利用率较高，有利于林业生产的发展。</w:t>
      </w:r>
    </w:p>
    <w:bookmarkEnd w:id="1"/>
    <w:bookmarkEnd w:id="2"/>
    <w:bookmarkEnd w:id="3"/>
    <w:p w14:paraId="21671EBA">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b w:val="0"/>
          <w:bCs w:val="0"/>
          <w:color w:val="000000"/>
          <w:sz w:val="21"/>
          <w:szCs w:val="21"/>
          <w:lang w:val="en-US" w:eastAsia="zh-CN"/>
        </w:rPr>
      </w:pPr>
      <w:bookmarkStart w:id="7" w:name="_Toc19481"/>
      <w:bookmarkStart w:id="8" w:name="_Toc7797"/>
      <w:bookmarkStart w:id="9" w:name="_Toc16801"/>
      <w:bookmarkStart w:id="10" w:name="_Toc6171"/>
      <w:bookmarkStart w:id="11" w:name="_Toc26551"/>
      <w:r>
        <w:rPr>
          <w:rFonts w:hint="eastAsia" w:ascii="宋体"/>
          <w:b w:val="0"/>
          <w:bCs w:val="0"/>
          <w:color w:val="000000"/>
          <w:sz w:val="21"/>
          <w:szCs w:val="21"/>
          <w:lang w:val="en-US" w:eastAsia="zh-CN"/>
        </w:rPr>
        <w:t xml:space="preserve">二、社会经济概况 </w:t>
      </w:r>
    </w:p>
    <w:p w14:paraId="180D798C">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b w:val="0"/>
          <w:bCs w:val="0"/>
          <w:color w:val="000000"/>
          <w:sz w:val="21"/>
          <w:szCs w:val="21"/>
          <w:lang w:val="en-US" w:eastAsia="zh-CN"/>
        </w:rPr>
      </w:pPr>
      <w:r>
        <w:rPr>
          <w:rFonts w:hint="eastAsia" w:ascii="宋体"/>
          <w:b w:val="0"/>
          <w:bCs w:val="0"/>
          <w:color w:val="000000"/>
          <w:sz w:val="21"/>
          <w:szCs w:val="21"/>
          <w:lang w:val="en-US" w:eastAsia="zh-CN"/>
        </w:rPr>
        <w:t xml:space="preserve">1、行政区与人口 </w:t>
      </w:r>
    </w:p>
    <w:p w14:paraId="072AC2FA">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b w:val="0"/>
          <w:bCs w:val="0"/>
          <w:color w:val="000000"/>
          <w:sz w:val="21"/>
          <w:szCs w:val="21"/>
          <w:lang w:val="en-US" w:eastAsia="zh-CN"/>
        </w:rPr>
      </w:pPr>
      <w:r>
        <w:rPr>
          <w:rFonts w:hint="eastAsia" w:ascii="宋体"/>
          <w:b w:val="0"/>
          <w:bCs w:val="0"/>
          <w:color w:val="000000"/>
          <w:sz w:val="21"/>
          <w:szCs w:val="21"/>
          <w:lang w:val="en-US" w:eastAsia="zh-CN"/>
        </w:rPr>
        <w:t xml:space="preserve">湛江经济技术开发区由建成区及东海岛、硇洲岛、东头山岛和南屏岛等区域组成，下辖硇洲 1 个镇和 5 个街道，共 18 个居委会、35 个村委会。截至 2023 年，全区常住人口约 30 万人，人口结构以城镇人口为主，兼具部分乡村社区。作为国家级开发区，其行政管理高效，正持续推进产城融合与城乡协调发展，为区域产业与生态保护提供稳定的人力与社会基础。 </w:t>
      </w:r>
    </w:p>
    <w:p w14:paraId="7AB5B528">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b w:val="0"/>
          <w:bCs w:val="0"/>
          <w:color w:val="000000"/>
          <w:sz w:val="21"/>
          <w:szCs w:val="21"/>
          <w:lang w:val="en-US" w:eastAsia="zh-CN"/>
        </w:rPr>
      </w:pPr>
      <w:r>
        <w:rPr>
          <w:rFonts w:hint="eastAsia" w:ascii="宋体"/>
          <w:b w:val="0"/>
          <w:bCs w:val="0"/>
          <w:color w:val="000000"/>
          <w:sz w:val="21"/>
          <w:szCs w:val="21"/>
          <w:lang w:val="en-US" w:eastAsia="zh-CN"/>
        </w:rPr>
        <w:t xml:space="preserve">2、社会经济 </w:t>
      </w:r>
    </w:p>
    <w:p w14:paraId="5F4B965E">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b w:val="0"/>
          <w:bCs w:val="0"/>
          <w:color w:val="000000"/>
          <w:sz w:val="21"/>
          <w:szCs w:val="21"/>
          <w:lang w:val="en-US" w:eastAsia="zh-CN"/>
        </w:rPr>
      </w:pPr>
      <w:r>
        <w:rPr>
          <w:rFonts w:hint="eastAsia" w:ascii="宋体"/>
          <w:b w:val="0"/>
          <w:bCs w:val="0"/>
          <w:color w:val="000000"/>
          <w:sz w:val="21"/>
          <w:szCs w:val="21"/>
          <w:lang w:val="en-US" w:eastAsia="zh-CN"/>
        </w:rPr>
        <w:t xml:space="preserve">湛江经济技术开发区由中央商务区（建成区）和东海岛片区组成。中央商务区与东海岛片区相隔约 11 公里，位于湛江市中心，面积 9.2 平方公里，以发展第三产业为主，已成为湛江市的金融中心、服务中 </w:t>
      </w:r>
    </w:p>
    <w:p w14:paraId="5824E5F4">
      <w:pPr>
        <w:keepNext w:val="0"/>
        <w:keepLines w:val="0"/>
        <w:pageBreakBefore w:val="0"/>
        <w:widowControl/>
        <w:numPr>
          <w:ilvl w:val="0"/>
          <w:numId w:val="0"/>
        </w:numPr>
        <w:kinsoku/>
        <w:wordWrap/>
        <w:overflowPunct/>
        <w:topLinePunct w:val="0"/>
        <w:autoSpaceDE/>
        <w:autoSpaceDN/>
        <w:bidi w:val="0"/>
        <w:adjustRightInd/>
        <w:snapToGrid/>
        <w:spacing w:line="360" w:lineRule="auto"/>
        <w:textAlignment w:val="auto"/>
        <w:rPr>
          <w:rFonts w:hint="eastAsia" w:ascii="宋体"/>
          <w:b w:val="0"/>
          <w:bCs w:val="0"/>
          <w:color w:val="000000"/>
          <w:sz w:val="21"/>
          <w:szCs w:val="21"/>
          <w:lang w:val="en-US" w:eastAsia="zh-CN"/>
        </w:rPr>
      </w:pPr>
      <w:r>
        <w:rPr>
          <w:rFonts w:hint="eastAsia" w:ascii="宋体"/>
          <w:b w:val="0"/>
          <w:bCs w:val="0"/>
          <w:color w:val="000000"/>
          <w:sz w:val="21"/>
          <w:szCs w:val="21"/>
          <w:lang w:val="en-US" w:eastAsia="zh-CN"/>
        </w:rPr>
        <w:t xml:space="preserve">心和商贸中心。东海岛片区位于湛江市东南方，由一条长 4.38 公里的东海跨海大桥与内陆相连接，东海岛片区形成了以钢铁、石化、造纸三大产业航母为龙头的现代大工业发展格局。硇洲岛面积 56 平方公里，具有美丽的热带海洋风光和悠久的历史，重点发展旅游业。湛江经济技术开发区是国家级经济技术开发区，可行使市级行政审批管理权限，同时享有国家级高新区、国家海洋示范区、国家循环经济示范区、广东产业转移工业园的政策，营商环境优越。全区拥有广东省体量最大的湛江产业转移工业园区和国家高新技术产业开发区东海岛园区、国家海洋经济发展示范区、国家循环化改造示范试点园区、国家级绿色工业园区，是湛江对外开放的窗口和现代化大工业主战场。 </w:t>
      </w:r>
    </w:p>
    <w:p w14:paraId="3AC852EE">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b w:val="0"/>
          <w:bCs w:val="0"/>
          <w:color w:val="000000"/>
          <w:sz w:val="21"/>
          <w:szCs w:val="21"/>
          <w:lang w:val="en-US" w:eastAsia="zh-CN"/>
        </w:rPr>
      </w:pPr>
      <w:r>
        <w:rPr>
          <w:rFonts w:hint="eastAsia" w:ascii="宋体"/>
          <w:b w:val="0"/>
          <w:bCs w:val="0"/>
          <w:color w:val="000000"/>
          <w:sz w:val="21"/>
          <w:szCs w:val="21"/>
          <w:lang w:val="en-US" w:eastAsia="zh-CN"/>
        </w:rPr>
        <w:t xml:space="preserve">3、交通条件 </w:t>
      </w:r>
    </w:p>
    <w:p w14:paraId="3950BC4F">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b w:val="0"/>
          <w:bCs w:val="0"/>
          <w:color w:val="000000"/>
          <w:sz w:val="21"/>
          <w:szCs w:val="21"/>
          <w:lang w:val="en-US" w:eastAsia="zh-CN"/>
        </w:rPr>
      </w:pPr>
      <w:r>
        <w:rPr>
          <w:rFonts w:hint="eastAsia" w:ascii="宋体"/>
          <w:b w:val="0"/>
          <w:bCs w:val="0"/>
          <w:color w:val="000000"/>
          <w:sz w:val="21"/>
          <w:szCs w:val="21"/>
          <w:lang w:val="en-US" w:eastAsia="zh-CN"/>
        </w:rPr>
        <w:t>湛江经济技术开发区区域交通便捷。建成区处于湛江市区核心区，航空、海运、高铁、公路、管道等综合交通运输体系齐备。东海岛交通“对外快速联通，对内全面畅通”，形成了岛内“一环三横四纵”公路网，对外高速公路、铁路和现代化港口组成的大交通格局，对外贸易发达。</w:t>
      </w:r>
    </w:p>
    <w:p w14:paraId="15FD57FD">
      <w:pPr>
        <w:keepNext w:val="0"/>
        <w:keepLines w:val="0"/>
        <w:pageBreakBefore w:val="0"/>
        <w:widowControl/>
        <w:numPr>
          <w:ilvl w:val="0"/>
          <w:numId w:val="0"/>
        </w:numPr>
        <w:kinsoku/>
        <w:wordWrap/>
        <w:overflowPunct/>
        <w:topLinePunct w:val="0"/>
        <w:autoSpaceDE/>
        <w:autoSpaceDN/>
        <w:bidi w:val="0"/>
        <w:adjustRightInd/>
        <w:snapToGrid/>
        <w:spacing w:line="360" w:lineRule="auto"/>
        <w:textAlignment w:val="auto"/>
        <w:rPr>
          <w:rFonts w:hint="default" w:ascii="宋体"/>
          <w:b/>
          <w:bCs/>
          <w:color w:val="000000"/>
          <w:sz w:val="21"/>
          <w:szCs w:val="21"/>
          <w:lang w:val="en-US" w:eastAsia="zh-CN"/>
        </w:rPr>
      </w:pPr>
      <w:r>
        <w:rPr>
          <w:rFonts w:hint="eastAsia" w:ascii="宋体"/>
          <w:b/>
          <w:bCs/>
          <w:color w:val="000000"/>
          <w:sz w:val="21"/>
          <w:szCs w:val="21"/>
          <w:lang w:val="en-US" w:eastAsia="zh-CN"/>
        </w:rPr>
        <w:t>3</w:t>
      </w:r>
      <w:r>
        <w:rPr>
          <w:rFonts w:hint="default" w:ascii="宋体"/>
          <w:b/>
          <w:bCs/>
          <w:color w:val="000000"/>
          <w:sz w:val="21"/>
          <w:szCs w:val="21"/>
          <w:lang w:val="en-US" w:eastAsia="zh-CN"/>
        </w:rPr>
        <w:t>、森林资源状况</w:t>
      </w:r>
      <w:bookmarkEnd w:id="7"/>
      <w:bookmarkEnd w:id="8"/>
      <w:bookmarkEnd w:id="9"/>
      <w:bookmarkEnd w:id="10"/>
      <w:bookmarkEnd w:id="11"/>
    </w:p>
    <w:p w14:paraId="3CABA2E3">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b w:val="0"/>
          <w:bCs w:val="0"/>
          <w:color w:val="000000"/>
          <w:sz w:val="21"/>
          <w:szCs w:val="21"/>
          <w:lang w:val="en-US" w:eastAsia="zh-CN"/>
        </w:rPr>
      </w:pPr>
      <w:r>
        <w:rPr>
          <w:rFonts w:hint="default" w:ascii="宋体"/>
          <w:b w:val="0"/>
          <w:bCs w:val="0"/>
          <w:color w:val="000000"/>
          <w:sz w:val="21"/>
          <w:szCs w:val="21"/>
          <w:lang w:val="en-US" w:eastAsia="zh-CN"/>
        </w:rPr>
        <w:t>湛江经济技术开发区土地面积约734527亩，林地面积69156.56亩，其中商品林41167.22亩，占全区森林资源的59.53%；公益林27989.34亩，占全区森林资源的40.47%，全区森林覆盖率约10.49%，森林蓄积量为282861立方米。</w:t>
      </w:r>
    </w:p>
    <w:p w14:paraId="5973D831">
      <w:pPr>
        <w:keepNext w:val="0"/>
        <w:keepLines w:val="0"/>
        <w:pageBreakBefore w:val="0"/>
        <w:widowControl/>
        <w:numPr>
          <w:ilvl w:val="0"/>
          <w:numId w:val="0"/>
        </w:numPr>
        <w:kinsoku/>
        <w:wordWrap/>
        <w:overflowPunct/>
        <w:topLinePunct w:val="0"/>
        <w:autoSpaceDE/>
        <w:autoSpaceDN/>
        <w:bidi w:val="0"/>
        <w:adjustRightInd/>
        <w:snapToGrid/>
        <w:spacing w:line="360" w:lineRule="auto"/>
        <w:textAlignment w:val="auto"/>
        <w:rPr>
          <w:rFonts w:hint="default" w:ascii="宋体"/>
          <w:b/>
          <w:bCs/>
          <w:color w:val="000000"/>
          <w:sz w:val="21"/>
          <w:szCs w:val="21"/>
          <w:lang w:val="en-US" w:eastAsia="zh-CN"/>
        </w:rPr>
      </w:pPr>
      <w:bookmarkStart w:id="12" w:name="_Toc19759"/>
      <w:bookmarkStart w:id="13" w:name="_Toc23193"/>
      <w:bookmarkStart w:id="14" w:name="_Toc17733"/>
      <w:bookmarkStart w:id="15" w:name="_Toc31767"/>
      <w:bookmarkStart w:id="16" w:name="_Toc22853"/>
      <w:bookmarkStart w:id="17" w:name="_Toc2334"/>
      <w:bookmarkStart w:id="18" w:name="_Toc21948"/>
      <w:bookmarkStart w:id="19" w:name="_Toc1741"/>
      <w:bookmarkStart w:id="20" w:name="_Toc18472"/>
      <w:bookmarkStart w:id="21" w:name="_Toc9117"/>
      <w:r>
        <w:rPr>
          <w:rFonts w:hint="default" w:ascii="宋体"/>
          <w:b/>
          <w:bCs/>
          <w:color w:val="000000"/>
          <w:sz w:val="21"/>
          <w:szCs w:val="21"/>
          <w:lang w:val="en-US" w:eastAsia="zh-CN"/>
        </w:rPr>
        <w:t>二</w:t>
      </w:r>
      <w:bookmarkEnd w:id="12"/>
      <w:r>
        <w:rPr>
          <w:rFonts w:hint="eastAsia" w:ascii="宋体"/>
          <w:b/>
          <w:bCs/>
          <w:color w:val="000000"/>
          <w:sz w:val="21"/>
          <w:szCs w:val="21"/>
          <w:lang w:val="en-US" w:eastAsia="zh-CN"/>
        </w:rPr>
        <w:t>、</w:t>
      </w:r>
      <w:r>
        <w:rPr>
          <w:rFonts w:hint="default" w:ascii="宋体"/>
          <w:b/>
          <w:bCs/>
          <w:color w:val="000000"/>
          <w:sz w:val="21"/>
          <w:szCs w:val="21"/>
          <w:lang w:val="en-US" w:eastAsia="zh-CN"/>
        </w:rPr>
        <w:t>作业设计原则及依据</w:t>
      </w:r>
      <w:bookmarkEnd w:id="13"/>
      <w:bookmarkEnd w:id="14"/>
      <w:bookmarkEnd w:id="15"/>
      <w:bookmarkEnd w:id="16"/>
      <w:bookmarkEnd w:id="17"/>
      <w:bookmarkEnd w:id="18"/>
      <w:bookmarkEnd w:id="19"/>
      <w:bookmarkEnd w:id="20"/>
      <w:bookmarkEnd w:id="21"/>
    </w:p>
    <w:p w14:paraId="3B1011AF">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b w:val="0"/>
          <w:bCs w:val="0"/>
          <w:color w:val="000000"/>
          <w:sz w:val="21"/>
          <w:szCs w:val="21"/>
          <w:lang w:val="en-US" w:eastAsia="zh-CN"/>
        </w:rPr>
      </w:pPr>
      <w:bookmarkStart w:id="22" w:name="_Toc24002"/>
      <w:bookmarkStart w:id="23" w:name="_Toc13697"/>
      <w:bookmarkStart w:id="24" w:name="_Toc25474"/>
      <w:bookmarkStart w:id="25" w:name="_Toc562"/>
      <w:bookmarkStart w:id="26" w:name="_Toc5624"/>
      <w:bookmarkStart w:id="27" w:name="_Toc8270"/>
      <w:bookmarkStart w:id="28" w:name="_Toc24981"/>
      <w:bookmarkStart w:id="29" w:name="_Toc21386"/>
      <w:bookmarkStart w:id="30" w:name="_Toc24330"/>
      <w:bookmarkStart w:id="31" w:name="_Toc15249"/>
      <w:r>
        <w:rPr>
          <w:rFonts w:hint="eastAsia" w:ascii="宋体"/>
          <w:b w:val="0"/>
          <w:bCs w:val="0"/>
          <w:color w:val="000000"/>
          <w:sz w:val="21"/>
          <w:szCs w:val="21"/>
          <w:lang w:val="en-US" w:eastAsia="zh-CN"/>
        </w:rPr>
        <w:t>1</w:t>
      </w:r>
      <w:r>
        <w:rPr>
          <w:rFonts w:hint="default" w:ascii="宋体"/>
          <w:b w:val="0"/>
          <w:bCs w:val="0"/>
          <w:color w:val="000000"/>
          <w:sz w:val="21"/>
          <w:szCs w:val="21"/>
          <w:lang w:val="en-US" w:eastAsia="zh-CN"/>
        </w:rPr>
        <w:t>、</w:t>
      </w:r>
      <w:bookmarkEnd w:id="22"/>
      <w:r>
        <w:rPr>
          <w:rFonts w:hint="default" w:ascii="宋体"/>
          <w:b w:val="0"/>
          <w:bCs w:val="0"/>
          <w:color w:val="000000"/>
          <w:sz w:val="21"/>
          <w:szCs w:val="21"/>
          <w:lang w:val="en-US" w:eastAsia="zh-CN"/>
        </w:rPr>
        <w:t>设计原则</w:t>
      </w:r>
      <w:bookmarkEnd w:id="23"/>
      <w:bookmarkEnd w:id="24"/>
      <w:bookmarkEnd w:id="25"/>
      <w:bookmarkEnd w:id="26"/>
      <w:bookmarkEnd w:id="27"/>
      <w:bookmarkEnd w:id="28"/>
      <w:bookmarkEnd w:id="29"/>
      <w:bookmarkEnd w:id="30"/>
      <w:bookmarkEnd w:id="31"/>
    </w:p>
    <w:p w14:paraId="046B1FE9">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b w:val="0"/>
          <w:bCs w:val="0"/>
          <w:color w:val="000000"/>
          <w:sz w:val="21"/>
          <w:szCs w:val="21"/>
          <w:lang w:val="en-US" w:eastAsia="zh-CN"/>
        </w:rPr>
      </w:pPr>
      <w:bookmarkStart w:id="32" w:name="_Toc27270"/>
      <w:bookmarkStart w:id="33" w:name="_Toc24336"/>
      <w:bookmarkStart w:id="34" w:name="_Toc11130"/>
      <w:bookmarkStart w:id="35" w:name="_Toc18823"/>
      <w:bookmarkStart w:id="36" w:name="_Toc17427"/>
      <w:bookmarkStart w:id="37" w:name="_Toc6658"/>
      <w:r>
        <w:rPr>
          <w:rFonts w:hint="default" w:ascii="宋体"/>
          <w:b w:val="0"/>
          <w:bCs w:val="0"/>
          <w:color w:val="000000"/>
          <w:sz w:val="21"/>
          <w:szCs w:val="21"/>
          <w:lang w:val="en-US" w:eastAsia="zh-CN"/>
        </w:rPr>
        <w:t>1</w:t>
      </w:r>
      <w:r>
        <w:rPr>
          <w:rFonts w:hint="eastAsia" w:ascii="宋体"/>
          <w:b w:val="0"/>
          <w:bCs w:val="0"/>
          <w:color w:val="000000"/>
          <w:sz w:val="21"/>
          <w:szCs w:val="21"/>
          <w:lang w:val="en-US" w:eastAsia="zh-CN"/>
        </w:rPr>
        <w:t>）</w:t>
      </w:r>
      <w:r>
        <w:rPr>
          <w:rFonts w:hint="default" w:ascii="宋体"/>
          <w:b w:val="0"/>
          <w:bCs w:val="0"/>
          <w:color w:val="000000"/>
          <w:sz w:val="21"/>
          <w:szCs w:val="21"/>
          <w:lang w:val="en-US" w:eastAsia="zh-CN"/>
        </w:rPr>
        <w:t>坚持统筹兼顾、科学谋划。科学分析当地森林现状基底，尊重自然、顺应自然、保护自然，统筹考虑生态合理性和经济可行性，遵循森林群落自然演替规律，兼顾群众利益，从实际出发，先急后缓，稳妥推进。</w:t>
      </w:r>
    </w:p>
    <w:p w14:paraId="4C1CEEE8">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b w:val="0"/>
          <w:bCs w:val="0"/>
          <w:color w:val="000000"/>
          <w:sz w:val="21"/>
          <w:szCs w:val="21"/>
          <w:lang w:val="en-US" w:eastAsia="zh-CN"/>
        </w:rPr>
      </w:pPr>
      <w:bookmarkStart w:id="38" w:name="_Hlk126659257"/>
      <w:r>
        <w:rPr>
          <w:rFonts w:hint="default" w:ascii="宋体"/>
          <w:b w:val="0"/>
          <w:bCs w:val="0"/>
          <w:color w:val="000000"/>
          <w:sz w:val="21"/>
          <w:szCs w:val="21"/>
          <w:lang w:val="en-US" w:eastAsia="zh-CN"/>
        </w:rPr>
        <w:t>2</w:t>
      </w:r>
      <w:r>
        <w:rPr>
          <w:rFonts w:hint="eastAsia" w:ascii="宋体"/>
          <w:b w:val="0"/>
          <w:bCs w:val="0"/>
          <w:color w:val="000000"/>
          <w:sz w:val="21"/>
          <w:szCs w:val="21"/>
          <w:lang w:val="en-US" w:eastAsia="zh-CN"/>
        </w:rPr>
        <w:t>）</w:t>
      </w:r>
      <w:bookmarkEnd w:id="38"/>
      <w:r>
        <w:rPr>
          <w:rFonts w:hint="default" w:ascii="宋体"/>
          <w:b w:val="0"/>
          <w:bCs w:val="0"/>
          <w:color w:val="000000"/>
          <w:sz w:val="21"/>
          <w:szCs w:val="21"/>
          <w:lang w:val="en-US" w:eastAsia="zh-CN"/>
        </w:rPr>
        <w:t>坚持因地制宜、分类施策。根据立地、水肥条件，结合区域主导功能、生态区位及森林类型，以问题为导向，采取人为适度干预和自然恢复相结合的综合技术措施，宜改则改、宜封则封、宜抚则抚，统筹安排，分类施策。</w:t>
      </w:r>
    </w:p>
    <w:p w14:paraId="67EF394E">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b w:val="0"/>
          <w:bCs w:val="0"/>
          <w:color w:val="000000"/>
          <w:sz w:val="21"/>
          <w:szCs w:val="21"/>
          <w:lang w:val="en-US" w:eastAsia="zh-CN"/>
        </w:rPr>
      </w:pPr>
      <w:r>
        <w:rPr>
          <w:rFonts w:hint="default" w:ascii="宋体"/>
          <w:b w:val="0"/>
          <w:bCs w:val="0"/>
          <w:color w:val="000000"/>
          <w:sz w:val="21"/>
          <w:szCs w:val="21"/>
          <w:lang w:val="en-US" w:eastAsia="zh-CN"/>
        </w:rPr>
        <w:t>3</w:t>
      </w:r>
      <w:r>
        <w:rPr>
          <w:rFonts w:hint="eastAsia" w:ascii="宋体"/>
          <w:b w:val="0"/>
          <w:bCs w:val="0"/>
          <w:color w:val="000000"/>
          <w:sz w:val="21"/>
          <w:szCs w:val="21"/>
          <w:lang w:val="en-US" w:eastAsia="zh-CN"/>
        </w:rPr>
        <w:t>）</w:t>
      </w:r>
      <w:r>
        <w:rPr>
          <w:rFonts w:hint="default" w:ascii="宋体"/>
          <w:b w:val="0"/>
          <w:bCs w:val="0"/>
          <w:color w:val="000000"/>
          <w:sz w:val="21"/>
          <w:szCs w:val="21"/>
          <w:lang w:val="en-US" w:eastAsia="zh-CN"/>
        </w:rPr>
        <w:t>坚持质量优先、务求实效。充分利用当地资源，在现有绿化成果上进行优化，在现有林相基础上进行提升，多做“加法”，少做“减法”。坚定不移走高质量发展之路，求真务实，精准施策，逐步培育稳定健康高效的森林生态系统。</w:t>
      </w:r>
    </w:p>
    <w:p w14:paraId="7345098E">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b w:val="0"/>
          <w:bCs w:val="0"/>
          <w:color w:val="000000"/>
          <w:sz w:val="21"/>
          <w:szCs w:val="21"/>
          <w:lang w:val="en-US" w:eastAsia="zh-CN"/>
        </w:rPr>
      </w:pPr>
      <w:r>
        <w:rPr>
          <w:rFonts w:hint="default" w:ascii="宋体"/>
          <w:b w:val="0"/>
          <w:bCs w:val="0"/>
          <w:color w:val="000000"/>
          <w:sz w:val="21"/>
          <w:szCs w:val="21"/>
          <w:lang w:val="en-US" w:eastAsia="zh-CN"/>
        </w:rPr>
        <w:t>4</w:t>
      </w:r>
      <w:r>
        <w:rPr>
          <w:rFonts w:hint="eastAsia" w:ascii="宋体"/>
          <w:b w:val="0"/>
          <w:bCs w:val="0"/>
          <w:color w:val="000000"/>
          <w:sz w:val="21"/>
          <w:szCs w:val="21"/>
          <w:lang w:val="en-US" w:eastAsia="zh-CN"/>
        </w:rPr>
        <w:t>）</w:t>
      </w:r>
      <w:r>
        <w:rPr>
          <w:rFonts w:hint="default" w:ascii="宋体"/>
          <w:b w:val="0"/>
          <w:bCs w:val="0"/>
          <w:color w:val="000000"/>
          <w:sz w:val="21"/>
          <w:szCs w:val="21"/>
          <w:lang w:val="en-US" w:eastAsia="zh-CN"/>
        </w:rPr>
        <w:t>坚持人民至上、增进福祉。提升森林质量，增加高质量林业生态产品有效供给，满足人民对优美生态环境、优良生态产品、优质生态服务的迫切需求，促进生态公共服务均等化、惠普化，助推乡村振兴发展。</w:t>
      </w:r>
    </w:p>
    <w:p w14:paraId="21000A24">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b w:val="0"/>
          <w:bCs w:val="0"/>
          <w:color w:val="000000"/>
          <w:sz w:val="21"/>
          <w:szCs w:val="21"/>
          <w:lang w:val="en-US" w:eastAsia="zh-CN"/>
        </w:rPr>
      </w:pPr>
      <w:bookmarkStart w:id="39" w:name="_Toc11299"/>
      <w:bookmarkStart w:id="40" w:name="_Toc754"/>
      <w:bookmarkStart w:id="41" w:name="_Toc8609"/>
      <w:bookmarkStart w:id="42" w:name="_Toc25644"/>
      <w:r>
        <w:rPr>
          <w:rFonts w:hint="eastAsia" w:ascii="宋体"/>
          <w:b w:val="0"/>
          <w:bCs w:val="0"/>
          <w:color w:val="000000"/>
          <w:sz w:val="21"/>
          <w:szCs w:val="21"/>
          <w:lang w:val="en-US" w:eastAsia="zh-CN"/>
        </w:rPr>
        <w:t>2</w:t>
      </w:r>
      <w:r>
        <w:rPr>
          <w:rFonts w:hint="default" w:ascii="宋体"/>
          <w:b w:val="0"/>
          <w:bCs w:val="0"/>
          <w:color w:val="000000"/>
          <w:sz w:val="21"/>
          <w:szCs w:val="21"/>
          <w:lang w:val="en-US" w:eastAsia="zh-CN"/>
        </w:rPr>
        <w:t>、设计依据</w:t>
      </w:r>
      <w:bookmarkEnd w:id="32"/>
      <w:bookmarkEnd w:id="33"/>
      <w:bookmarkEnd w:id="34"/>
      <w:bookmarkEnd w:id="35"/>
      <w:bookmarkEnd w:id="36"/>
      <w:bookmarkEnd w:id="37"/>
      <w:bookmarkEnd w:id="39"/>
      <w:bookmarkEnd w:id="40"/>
      <w:bookmarkEnd w:id="41"/>
      <w:bookmarkEnd w:id="42"/>
    </w:p>
    <w:p w14:paraId="1901BFE3">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b w:val="0"/>
          <w:bCs w:val="0"/>
          <w:color w:val="000000"/>
          <w:sz w:val="21"/>
          <w:szCs w:val="21"/>
          <w:lang w:val="en-US" w:eastAsia="zh-CN"/>
        </w:rPr>
      </w:pPr>
      <w:r>
        <w:rPr>
          <w:rFonts w:hint="default" w:ascii="宋体"/>
          <w:b w:val="0"/>
          <w:bCs w:val="0"/>
          <w:color w:val="000000"/>
          <w:sz w:val="21"/>
          <w:szCs w:val="21"/>
          <w:lang w:val="en-US" w:eastAsia="zh-CN"/>
        </w:rPr>
        <w:t>1</w:t>
      </w:r>
      <w:r>
        <w:rPr>
          <w:rFonts w:hint="eastAsia" w:ascii="宋体"/>
          <w:b w:val="0"/>
          <w:bCs w:val="0"/>
          <w:color w:val="000000"/>
          <w:sz w:val="21"/>
          <w:szCs w:val="21"/>
          <w:lang w:val="en-US" w:eastAsia="zh-CN"/>
        </w:rPr>
        <w:t>）</w:t>
      </w:r>
      <w:r>
        <w:rPr>
          <w:rFonts w:hint="default" w:ascii="宋体"/>
          <w:b w:val="0"/>
          <w:bCs w:val="0"/>
          <w:color w:val="000000"/>
          <w:sz w:val="21"/>
          <w:szCs w:val="21"/>
          <w:lang w:val="en-US" w:eastAsia="zh-CN"/>
        </w:rPr>
        <w:t>《中华人民共和国森林法》（2019年修订）；</w:t>
      </w:r>
    </w:p>
    <w:p w14:paraId="67D3C636">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b w:val="0"/>
          <w:bCs w:val="0"/>
          <w:color w:val="000000"/>
          <w:sz w:val="21"/>
          <w:szCs w:val="21"/>
          <w:lang w:val="en-US" w:eastAsia="zh-CN"/>
        </w:rPr>
      </w:pPr>
      <w:r>
        <w:rPr>
          <w:rFonts w:hint="default" w:ascii="宋体"/>
          <w:b w:val="0"/>
          <w:bCs w:val="0"/>
          <w:color w:val="000000"/>
          <w:sz w:val="21"/>
          <w:szCs w:val="21"/>
          <w:lang w:val="en-US" w:eastAsia="zh-CN"/>
        </w:rPr>
        <w:t>2</w:t>
      </w:r>
      <w:r>
        <w:rPr>
          <w:rFonts w:hint="eastAsia" w:ascii="宋体"/>
          <w:b w:val="0"/>
          <w:bCs w:val="0"/>
          <w:color w:val="000000"/>
          <w:sz w:val="21"/>
          <w:szCs w:val="21"/>
          <w:lang w:val="en-US" w:eastAsia="zh-CN"/>
        </w:rPr>
        <w:t>）</w:t>
      </w:r>
      <w:r>
        <w:rPr>
          <w:rFonts w:hint="default" w:ascii="宋体"/>
          <w:b w:val="0"/>
          <w:bCs w:val="0"/>
          <w:color w:val="000000"/>
          <w:sz w:val="21"/>
          <w:szCs w:val="21"/>
          <w:lang w:val="en-US" w:eastAsia="zh-CN"/>
        </w:rPr>
        <w:t>《中华人民共和国森林法实施条例》（2018年修订）；</w:t>
      </w:r>
    </w:p>
    <w:p w14:paraId="52A316F9">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b w:val="0"/>
          <w:bCs w:val="0"/>
          <w:color w:val="000000"/>
          <w:sz w:val="21"/>
          <w:szCs w:val="21"/>
          <w:lang w:val="en-US" w:eastAsia="zh-CN"/>
        </w:rPr>
      </w:pPr>
      <w:r>
        <w:rPr>
          <w:rFonts w:hint="default" w:ascii="宋体"/>
          <w:b w:val="0"/>
          <w:bCs w:val="0"/>
          <w:color w:val="000000"/>
          <w:sz w:val="21"/>
          <w:szCs w:val="21"/>
          <w:lang w:val="en-US" w:eastAsia="zh-CN"/>
        </w:rPr>
        <w:t>3</w:t>
      </w:r>
      <w:r>
        <w:rPr>
          <w:rFonts w:hint="eastAsia" w:ascii="宋体"/>
          <w:b w:val="0"/>
          <w:bCs w:val="0"/>
          <w:color w:val="000000"/>
          <w:sz w:val="21"/>
          <w:szCs w:val="21"/>
          <w:lang w:val="en-US" w:eastAsia="zh-CN"/>
        </w:rPr>
        <w:t>）《广东省林地保护管理条例》（2020 年修订）</w:t>
      </w:r>
      <w:r>
        <w:rPr>
          <w:rFonts w:hint="default" w:ascii="宋体"/>
          <w:b w:val="0"/>
          <w:bCs w:val="0"/>
          <w:color w:val="000000"/>
          <w:sz w:val="21"/>
          <w:szCs w:val="21"/>
          <w:lang w:val="en-US" w:eastAsia="zh-CN"/>
        </w:rPr>
        <w:t>；</w:t>
      </w:r>
    </w:p>
    <w:p w14:paraId="7B35E3EF">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b w:val="0"/>
          <w:bCs w:val="0"/>
          <w:color w:val="000000"/>
          <w:sz w:val="21"/>
          <w:szCs w:val="21"/>
          <w:lang w:val="en-US" w:eastAsia="zh-CN"/>
        </w:rPr>
      </w:pPr>
      <w:r>
        <w:rPr>
          <w:rFonts w:hint="default" w:ascii="宋体"/>
          <w:b w:val="0"/>
          <w:bCs w:val="0"/>
          <w:color w:val="000000"/>
          <w:sz w:val="21"/>
          <w:szCs w:val="21"/>
          <w:lang w:val="en-US" w:eastAsia="zh-CN"/>
        </w:rPr>
        <w:t>4</w:t>
      </w:r>
      <w:r>
        <w:rPr>
          <w:rFonts w:hint="eastAsia" w:ascii="宋体"/>
          <w:b w:val="0"/>
          <w:bCs w:val="0"/>
          <w:color w:val="000000"/>
          <w:sz w:val="21"/>
          <w:szCs w:val="21"/>
          <w:lang w:val="en-US" w:eastAsia="zh-CN"/>
        </w:rPr>
        <w:t>）《造林技术规程》（GB/T15776-2023）</w:t>
      </w:r>
      <w:r>
        <w:rPr>
          <w:rFonts w:hint="default" w:ascii="宋体"/>
          <w:b w:val="0"/>
          <w:bCs w:val="0"/>
          <w:color w:val="000000"/>
          <w:sz w:val="21"/>
          <w:szCs w:val="21"/>
          <w:lang w:val="en-US" w:eastAsia="zh-CN"/>
        </w:rPr>
        <w:t>；</w:t>
      </w:r>
    </w:p>
    <w:p w14:paraId="1719DCDF">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b w:val="0"/>
          <w:bCs w:val="0"/>
          <w:color w:val="000000"/>
          <w:sz w:val="21"/>
          <w:szCs w:val="21"/>
          <w:lang w:val="en-US" w:eastAsia="zh-CN"/>
        </w:rPr>
      </w:pPr>
      <w:r>
        <w:rPr>
          <w:rFonts w:hint="default" w:ascii="宋体"/>
          <w:b w:val="0"/>
          <w:bCs w:val="0"/>
          <w:color w:val="000000"/>
          <w:sz w:val="21"/>
          <w:szCs w:val="21"/>
          <w:lang w:val="en-US" w:eastAsia="zh-CN"/>
        </w:rPr>
        <w:t>5</w:t>
      </w:r>
      <w:r>
        <w:rPr>
          <w:rFonts w:hint="eastAsia" w:ascii="宋体"/>
          <w:b w:val="0"/>
          <w:bCs w:val="0"/>
          <w:color w:val="000000"/>
          <w:sz w:val="21"/>
          <w:szCs w:val="21"/>
          <w:lang w:val="en-US" w:eastAsia="zh-CN"/>
        </w:rPr>
        <w:t>）《森林抚育规程》（</w:t>
      </w:r>
      <w:r>
        <w:rPr>
          <w:rFonts w:hint="default" w:ascii="宋体"/>
          <w:b w:val="0"/>
          <w:bCs w:val="0"/>
          <w:color w:val="000000"/>
          <w:sz w:val="21"/>
          <w:szCs w:val="21"/>
          <w:lang w:val="en-US" w:eastAsia="zh-CN"/>
        </w:rPr>
        <w:t>GB/T15781-2015</w:t>
      </w:r>
      <w:r>
        <w:rPr>
          <w:rFonts w:hint="eastAsia" w:ascii="宋体"/>
          <w:b w:val="0"/>
          <w:bCs w:val="0"/>
          <w:color w:val="000000"/>
          <w:sz w:val="21"/>
          <w:szCs w:val="21"/>
          <w:lang w:val="en-US" w:eastAsia="zh-CN"/>
        </w:rPr>
        <w:t>）；</w:t>
      </w:r>
    </w:p>
    <w:p w14:paraId="468A205C">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b w:val="0"/>
          <w:bCs w:val="0"/>
          <w:color w:val="000000"/>
          <w:sz w:val="21"/>
          <w:szCs w:val="21"/>
          <w:lang w:val="en-US" w:eastAsia="zh-CN"/>
        </w:rPr>
      </w:pPr>
      <w:r>
        <w:rPr>
          <w:rFonts w:hint="default" w:ascii="宋体"/>
          <w:b w:val="0"/>
          <w:bCs w:val="0"/>
          <w:color w:val="000000"/>
          <w:sz w:val="21"/>
          <w:szCs w:val="21"/>
          <w:lang w:val="en-US" w:eastAsia="zh-CN"/>
        </w:rPr>
        <w:t>6</w:t>
      </w:r>
      <w:r>
        <w:rPr>
          <w:rFonts w:hint="eastAsia" w:ascii="宋体"/>
          <w:b w:val="0"/>
          <w:bCs w:val="0"/>
          <w:color w:val="000000"/>
          <w:sz w:val="21"/>
          <w:szCs w:val="21"/>
          <w:lang w:val="en-US" w:eastAsia="zh-CN"/>
        </w:rPr>
        <w:t>）《造林作业设计规程》（LY/T1607-2024）；</w:t>
      </w:r>
    </w:p>
    <w:p w14:paraId="49C197FF">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b w:val="0"/>
          <w:bCs w:val="0"/>
          <w:color w:val="000000"/>
          <w:sz w:val="21"/>
          <w:szCs w:val="21"/>
          <w:lang w:val="en-US" w:eastAsia="zh-CN"/>
        </w:rPr>
      </w:pPr>
      <w:r>
        <w:rPr>
          <w:rFonts w:hint="default" w:ascii="宋体"/>
          <w:b w:val="0"/>
          <w:bCs w:val="0"/>
          <w:color w:val="000000"/>
          <w:sz w:val="21"/>
          <w:szCs w:val="21"/>
          <w:lang w:val="en-US" w:eastAsia="zh-CN"/>
        </w:rPr>
        <w:t>7</w:t>
      </w:r>
      <w:r>
        <w:rPr>
          <w:rFonts w:hint="eastAsia" w:ascii="宋体"/>
          <w:b w:val="0"/>
          <w:bCs w:val="0"/>
          <w:color w:val="000000"/>
          <w:sz w:val="21"/>
          <w:szCs w:val="21"/>
          <w:lang w:val="en-US" w:eastAsia="zh-CN"/>
        </w:rPr>
        <w:t>）《低效林改造技术规程》（LY/T 1690-2017）；</w:t>
      </w:r>
    </w:p>
    <w:p w14:paraId="6FE1D6AB">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b w:val="0"/>
          <w:bCs w:val="0"/>
          <w:color w:val="000000"/>
          <w:sz w:val="21"/>
          <w:szCs w:val="21"/>
          <w:lang w:val="en-US" w:eastAsia="zh-CN"/>
        </w:rPr>
      </w:pPr>
      <w:r>
        <w:rPr>
          <w:rFonts w:hint="default" w:ascii="宋体"/>
          <w:b w:val="0"/>
          <w:bCs w:val="0"/>
          <w:color w:val="000000"/>
          <w:sz w:val="21"/>
          <w:szCs w:val="21"/>
          <w:lang w:val="en-US" w:eastAsia="zh-CN"/>
        </w:rPr>
        <w:t>8</w:t>
      </w:r>
      <w:r>
        <w:rPr>
          <w:rFonts w:hint="eastAsia" w:ascii="宋体"/>
          <w:b w:val="0"/>
          <w:bCs w:val="0"/>
          <w:color w:val="000000"/>
          <w:sz w:val="21"/>
          <w:szCs w:val="21"/>
          <w:lang w:val="en-US" w:eastAsia="zh-CN"/>
        </w:rPr>
        <w:t>）《森林资源规划设计调查技术规程》（GB/T 26424-2010）；</w:t>
      </w:r>
    </w:p>
    <w:p w14:paraId="3DFAD17C">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b w:val="0"/>
          <w:bCs w:val="0"/>
          <w:color w:val="000000"/>
          <w:sz w:val="21"/>
          <w:szCs w:val="21"/>
          <w:lang w:val="en-US" w:eastAsia="zh-CN"/>
        </w:rPr>
      </w:pPr>
      <w:r>
        <w:rPr>
          <w:rFonts w:hint="default" w:ascii="宋体"/>
          <w:b w:val="0"/>
          <w:bCs w:val="0"/>
          <w:color w:val="000000"/>
          <w:sz w:val="21"/>
          <w:szCs w:val="21"/>
          <w:lang w:val="en-US" w:eastAsia="zh-CN"/>
        </w:rPr>
        <w:t>9</w:t>
      </w:r>
      <w:r>
        <w:rPr>
          <w:rFonts w:hint="eastAsia" w:ascii="宋体"/>
          <w:b w:val="0"/>
          <w:bCs w:val="0"/>
          <w:color w:val="000000"/>
          <w:sz w:val="21"/>
          <w:szCs w:val="21"/>
          <w:lang w:val="en-US" w:eastAsia="zh-CN"/>
        </w:rPr>
        <w:t>）《广东省森林质量精准提升行动技术指南》（</w:t>
      </w:r>
      <w:r>
        <w:rPr>
          <w:rFonts w:hint="default" w:ascii="宋体"/>
          <w:b w:val="0"/>
          <w:bCs w:val="0"/>
          <w:color w:val="000000"/>
          <w:sz w:val="21"/>
          <w:szCs w:val="21"/>
          <w:lang w:val="en-US" w:eastAsia="zh-CN"/>
        </w:rPr>
        <w:t>2023</w:t>
      </w:r>
      <w:r>
        <w:rPr>
          <w:rFonts w:hint="eastAsia" w:ascii="宋体"/>
          <w:b w:val="0"/>
          <w:bCs w:val="0"/>
          <w:color w:val="000000"/>
          <w:sz w:val="21"/>
          <w:szCs w:val="21"/>
          <w:lang w:val="en-US" w:eastAsia="zh-CN"/>
        </w:rPr>
        <w:t>年）</w:t>
      </w:r>
      <w:r>
        <w:rPr>
          <w:rFonts w:hint="default" w:ascii="宋体"/>
          <w:b w:val="0"/>
          <w:bCs w:val="0"/>
          <w:color w:val="000000"/>
          <w:sz w:val="21"/>
          <w:szCs w:val="21"/>
          <w:lang w:val="en-US" w:eastAsia="zh-CN"/>
        </w:rPr>
        <w:t>；</w:t>
      </w:r>
    </w:p>
    <w:p w14:paraId="3E1724BD">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b w:val="0"/>
          <w:bCs w:val="0"/>
          <w:color w:val="000000"/>
          <w:sz w:val="21"/>
          <w:szCs w:val="21"/>
          <w:lang w:val="en-US" w:eastAsia="zh-CN"/>
        </w:rPr>
      </w:pPr>
      <w:r>
        <w:rPr>
          <w:rFonts w:hint="default" w:ascii="宋体"/>
          <w:b w:val="0"/>
          <w:bCs w:val="0"/>
          <w:color w:val="000000"/>
          <w:sz w:val="21"/>
          <w:szCs w:val="21"/>
          <w:lang w:val="en-US" w:eastAsia="zh-CN"/>
        </w:rPr>
        <w:t>10</w:t>
      </w:r>
      <w:r>
        <w:rPr>
          <w:rFonts w:hint="eastAsia" w:ascii="宋体"/>
          <w:b w:val="0"/>
          <w:bCs w:val="0"/>
          <w:color w:val="000000"/>
          <w:sz w:val="21"/>
          <w:szCs w:val="21"/>
          <w:lang w:val="en-US" w:eastAsia="zh-CN"/>
        </w:rPr>
        <w:t>）《中共广东省委关于深入推进绿美广东生态建设的决定》（粤发〔2022〕21 号）；</w:t>
      </w:r>
    </w:p>
    <w:p w14:paraId="67BF8F25">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b w:val="0"/>
          <w:bCs w:val="0"/>
          <w:color w:val="000000"/>
          <w:sz w:val="21"/>
          <w:szCs w:val="21"/>
          <w:lang w:val="en-US" w:eastAsia="zh-CN"/>
        </w:rPr>
      </w:pPr>
      <w:r>
        <w:rPr>
          <w:rFonts w:hint="default" w:ascii="宋体"/>
          <w:b w:val="0"/>
          <w:bCs w:val="0"/>
          <w:color w:val="000000"/>
          <w:sz w:val="21"/>
          <w:szCs w:val="21"/>
          <w:lang w:val="en-US" w:eastAsia="zh-CN"/>
        </w:rPr>
        <w:t>11</w:t>
      </w:r>
      <w:r>
        <w:rPr>
          <w:rFonts w:hint="eastAsia" w:ascii="宋体"/>
          <w:b w:val="0"/>
          <w:bCs w:val="0"/>
          <w:color w:val="000000"/>
          <w:sz w:val="21"/>
          <w:szCs w:val="21"/>
          <w:lang w:val="en-US" w:eastAsia="zh-CN"/>
        </w:rPr>
        <w:t>）《广东省林业局关于印发〈广东省林业局造林管理办法〉的通知》（粤林规〔2022〕1号）；</w:t>
      </w:r>
    </w:p>
    <w:p w14:paraId="12E75773">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b w:val="0"/>
          <w:bCs w:val="0"/>
          <w:color w:val="000000"/>
          <w:sz w:val="21"/>
          <w:szCs w:val="21"/>
          <w:lang w:val="en-US" w:eastAsia="zh-CN"/>
        </w:rPr>
      </w:pPr>
      <w:r>
        <w:rPr>
          <w:rFonts w:hint="default" w:ascii="宋体"/>
          <w:b w:val="0"/>
          <w:bCs w:val="0"/>
          <w:color w:val="000000"/>
          <w:sz w:val="21"/>
          <w:szCs w:val="21"/>
          <w:lang w:val="en-US" w:eastAsia="zh-CN"/>
        </w:rPr>
        <w:t>12</w:t>
      </w:r>
      <w:r>
        <w:rPr>
          <w:rFonts w:hint="eastAsia" w:ascii="宋体"/>
          <w:b w:val="0"/>
          <w:bCs w:val="0"/>
          <w:color w:val="000000"/>
          <w:sz w:val="21"/>
          <w:szCs w:val="21"/>
          <w:lang w:val="en-US" w:eastAsia="zh-CN"/>
        </w:rPr>
        <w:t>）《广东省林业局关于印发〈森林质量精准提升行动方案（2023-2035 年）〉的通知》（粤林函〔2023〕10 号）；</w:t>
      </w:r>
    </w:p>
    <w:p w14:paraId="3C965E3C">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b w:val="0"/>
          <w:bCs w:val="0"/>
          <w:color w:val="000000"/>
          <w:sz w:val="21"/>
          <w:szCs w:val="21"/>
          <w:lang w:val="en-US" w:eastAsia="zh-CN"/>
        </w:rPr>
      </w:pPr>
      <w:r>
        <w:rPr>
          <w:rFonts w:hint="default" w:ascii="宋体"/>
          <w:b w:val="0"/>
          <w:bCs w:val="0"/>
          <w:color w:val="000000"/>
          <w:sz w:val="21"/>
          <w:szCs w:val="21"/>
          <w:lang w:val="en-US" w:eastAsia="zh-CN"/>
        </w:rPr>
        <w:t>13</w:t>
      </w:r>
      <w:r>
        <w:rPr>
          <w:rFonts w:hint="eastAsia" w:ascii="宋体"/>
          <w:b w:val="0"/>
          <w:bCs w:val="0"/>
          <w:color w:val="000000"/>
          <w:sz w:val="21"/>
          <w:szCs w:val="21"/>
          <w:lang w:val="en-US" w:eastAsia="zh-CN"/>
        </w:rPr>
        <w:t>） 《广东省财政厅关于提前下达 2026 年绿美广东六大提升行动专项资金的通知》（粤财资环〔2025〕165 号）；</w:t>
      </w:r>
    </w:p>
    <w:p w14:paraId="496B64ED">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b w:val="0"/>
          <w:bCs w:val="0"/>
          <w:color w:val="000000"/>
          <w:sz w:val="21"/>
          <w:szCs w:val="21"/>
          <w:lang w:val="en-US" w:eastAsia="zh-CN"/>
        </w:rPr>
      </w:pPr>
      <w:r>
        <w:rPr>
          <w:rFonts w:hint="default" w:ascii="宋体"/>
          <w:b w:val="0"/>
          <w:bCs w:val="0"/>
          <w:color w:val="000000"/>
          <w:sz w:val="21"/>
          <w:szCs w:val="21"/>
          <w:lang w:val="en-US" w:eastAsia="zh-CN"/>
        </w:rPr>
        <w:t>14</w:t>
      </w:r>
      <w:r>
        <w:rPr>
          <w:rFonts w:hint="eastAsia" w:ascii="宋体"/>
          <w:b w:val="0"/>
          <w:bCs w:val="0"/>
          <w:color w:val="000000"/>
          <w:sz w:val="21"/>
          <w:szCs w:val="21"/>
          <w:lang w:val="en-US" w:eastAsia="zh-CN"/>
        </w:rPr>
        <w:t>）《广东省财政厅关于下达绿美广东生态建设种苗保障相关资金的通知》（粤财资环〔2025〕151 号）；</w:t>
      </w:r>
    </w:p>
    <w:p w14:paraId="682C259A">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b w:val="0"/>
          <w:bCs w:val="0"/>
          <w:color w:val="000000"/>
          <w:sz w:val="21"/>
          <w:szCs w:val="21"/>
          <w:lang w:val="en-US" w:eastAsia="zh-CN"/>
        </w:rPr>
      </w:pPr>
    </w:p>
    <w:p w14:paraId="72942F95">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b w:val="0"/>
          <w:bCs w:val="0"/>
          <w:color w:val="000000"/>
          <w:sz w:val="21"/>
          <w:szCs w:val="21"/>
          <w:lang w:val="en-US" w:eastAsia="zh-CN"/>
        </w:rPr>
      </w:pPr>
      <w:r>
        <w:rPr>
          <w:rFonts w:hint="default" w:ascii="宋体"/>
          <w:b w:val="0"/>
          <w:bCs w:val="0"/>
          <w:color w:val="000000"/>
          <w:sz w:val="21"/>
          <w:szCs w:val="21"/>
          <w:lang w:val="en-US" w:eastAsia="zh-CN"/>
        </w:rPr>
        <w:t>15</w:t>
      </w:r>
      <w:r>
        <w:rPr>
          <w:rFonts w:hint="eastAsia" w:ascii="宋体"/>
          <w:b w:val="0"/>
          <w:bCs w:val="0"/>
          <w:color w:val="000000"/>
          <w:sz w:val="21"/>
          <w:szCs w:val="21"/>
          <w:lang w:val="en-US" w:eastAsia="zh-CN"/>
        </w:rPr>
        <w:t>）《湛江市自然资源局关于下达 2026 年国士绿化和林业生态修复计划任务的通知》 （湛自然资(营林)〔2026〕1 号）；</w:t>
      </w:r>
    </w:p>
    <w:p w14:paraId="6BB70A36">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b w:val="0"/>
          <w:bCs w:val="0"/>
          <w:color w:val="000000"/>
          <w:sz w:val="21"/>
          <w:szCs w:val="21"/>
          <w:lang w:val="en-US" w:eastAsia="zh-CN"/>
        </w:rPr>
      </w:pPr>
    </w:p>
    <w:p w14:paraId="3191C273">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b w:val="0"/>
          <w:bCs w:val="0"/>
          <w:color w:val="000000"/>
          <w:sz w:val="21"/>
          <w:szCs w:val="21"/>
          <w:lang w:val="en-US" w:eastAsia="zh-CN"/>
        </w:rPr>
      </w:pPr>
      <w:r>
        <w:rPr>
          <w:rFonts w:hint="default" w:ascii="宋体"/>
          <w:b w:val="0"/>
          <w:bCs w:val="0"/>
          <w:color w:val="000000"/>
          <w:sz w:val="21"/>
          <w:szCs w:val="21"/>
          <w:lang w:val="en-US" w:eastAsia="zh-CN"/>
        </w:rPr>
        <w:t>16</w:t>
      </w:r>
      <w:r>
        <w:rPr>
          <w:rFonts w:hint="eastAsia" w:ascii="宋体"/>
          <w:b w:val="0"/>
          <w:bCs w:val="0"/>
          <w:color w:val="000000"/>
          <w:sz w:val="21"/>
          <w:szCs w:val="21"/>
          <w:lang w:val="en-US" w:eastAsia="zh-CN"/>
        </w:rPr>
        <w:t>）</w:t>
      </w:r>
      <w:bookmarkStart w:id="43" w:name="_Toc3465"/>
      <w:bookmarkStart w:id="44" w:name="_Toc6724"/>
      <w:bookmarkStart w:id="45" w:name="_Toc14632"/>
      <w:bookmarkStart w:id="46" w:name="_Toc22243"/>
      <w:bookmarkStart w:id="47" w:name="_Toc14025"/>
      <w:bookmarkStart w:id="48" w:name="_Toc13515"/>
      <w:bookmarkStart w:id="49" w:name="_Toc23343"/>
      <w:bookmarkStart w:id="50" w:name="_Toc27700"/>
      <w:r>
        <w:rPr>
          <w:rFonts w:hint="eastAsia" w:ascii="宋体"/>
          <w:b w:val="0"/>
          <w:bCs w:val="0"/>
          <w:color w:val="000000"/>
          <w:sz w:val="21"/>
          <w:szCs w:val="21"/>
          <w:lang w:val="en-US" w:eastAsia="zh-CN"/>
        </w:rPr>
        <w:t>《关于湛江市 2026 年林业生态修复项目投资预算、作业设计和招投标等有关事项的说明》（湛自然资（营林）〔2026〕3 号）。</w:t>
      </w:r>
    </w:p>
    <w:p w14:paraId="0C3CF0B9">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b w:val="0"/>
          <w:bCs w:val="0"/>
          <w:color w:val="000000"/>
          <w:sz w:val="21"/>
          <w:szCs w:val="21"/>
          <w:lang w:val="en-US" w:eastAsia="zh-CN"/>
        </w:rPr>
      </w:pPr>
      <w:r>
        <w:rPr>
          <w:rFonts w:hint="eastAsia" w:ascii="宋体"/>
          <w:b w:val="0"/>
          <w:bCs w:val="0"/>
          <w:color w:val="000000"/>
          <w:sz w:val="21"/>
          <w:szCs w:val="21"/>
          <w:lang w:val="en-US" w:eastAsia="zh-CN"/>
        </w:rPr>
        <w:t>3</w:t>
      </w:r>
      <w:r>
        <w:rPr>
          <w:rFonts w:hint="default" w:ascii="宋体"/>
          <w:b w:val="0"/>
          <w:bCs w:val="0"/>
          <w:color w:val="000000"/>
          <w:sz w:val="21"/>
          <w:szCs w:val="21"/>
          <w:lang w:val="en-US" w:eastAsia="zh-CN"/>
        </w:rPr>
        <w:t>、设计思路</w:t>
      </w:r>
      <w:bookmarkEnd w:id="43"/>
      <w:bookmarkEnd w:id="44"/>
      <w:bookmarkEnd w:id="45"/>
      <w:bookmarkEnd w:id="46"/>
      <w:bookmarkEnd w:id="47"/>
    </w:p>
    <w:p w14:paraId="27E51012">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b w:val="0"/>
          <w:bCs w:val="0"/>
          <w:color w:val="000000"/>
          <w:sz w:val="21"/>
          <w:szCs w:val="21"/>
          <w:lang w:val="en-US" w:eastAsia="zh-CN"/>
        </w:rPr>
      </w:pPr>
      <w:r>
        <w:rPr>
          <w:rFonts w:hint="default" w:ascii="宋体"/>
          <w:b w:val="0"/>
          <w:bCs w:val="0"/>
          <w:color w:val="000000"/>
          <w:sz w:val="21"/>
          <w:szCs w:val="21"/>
          <w:lang w:val="en-US" w:eastAsia="zh-CN"/>
        </w:rPr>
        <w:t>坚持以习近平新时代中国特色社会主义思想为指导，全面贯彻党的二十大精神，认真践行习近平生态文明思想，以满足人民日益增长的美好生活需要为目的，高标准推进绿美广东生态建设，实施森林质量精准提升，逐步恢复地带性森林群落，推进森林绿化、美化、生态化建设，全面构建生态网络，加强生物多样性保护，提升森林生态系统多样性、稳定性、持续性，打造人与自然和谐共生的湛江经济技术开发区样板。</w:t>
      </w:r>
      <w:bookmarkEnd w:id="48"/>
      <w:bookmarkEnd w:id="49"/>
      <w:bookmarkEnd w:id="50"/>
      <w:bookmarkStart w:id="51" w:name="_Toc27013"/>
      <w:bookmarkStart w:id="52" w:name="_Toc2885"/>
      <w:bookmarkStart w:id="53" w:name="_Toc7685"/>
      <w:bookmarkStart w:id="54" w:name="_Toc15910"/>
      <w:bookmarkStart w:id="55" w:name="_Toc3993"/>
      <w:bookmarkStart w:id="56" w:name="_Toc13402"/>
      <w:bookmarkStart w:id="57" w:name="_Toc24708"/>
      <w:bookmarkStart w:id="58" w:name="_Toc14920"/>
      <w:bookmarkStart w:id="59" w:name="_Toc2935"/>
      <w:bookmarkStart w:id="60" w:name="_Toc20613"/>
    </w:p>
    <w:p w14:paraId="39B65398">
      <w:pPr>
        <w:keepNext w:val="0"/>
        <w:keepLines w:val="0"/>
        <w:pageBreakBefore w:val="0"/>
        <w:widowControl/>
        <w:numPr>
          <w:ilvl w:val="0"/>
          <w:numId w:val="0"/>
        </w:numPr>
        <w:kinsoku/>
        <w:wordWrap/>
        <w:overflowPunct/>
        <w:topLinePunct w:val="0"/>
        <w:autoSpaceDE/>
        <w:autoSpaceDN/>
        <w:bidi w:val="0"/>
        <w:adjustRightInd/>
        <w:snapToGrid/>
        <w:spacing w:line="360" w:lineRule="auto"/>
        <w:textAlignment w:val="auto"/>
        <w:rPr>
          <w:rFonts w:hint="default" w:ascii="宋体"/>
          <w:b/>
          <w:bCs/>
          <w:color w:val="000000"/>
          <w:sz w:val="21"/>
          <w:szCs w:val="21"/>
          <w:lang w:val="en-US" w:eastAsia="zh-CN"/>
        </w:rPr>
      </w:pPr>
      <w:r>
        <w:rPr>
          <w:rFonts w:hint="default" w:ascii="宋体"/>
          <w:b/>
          <w:bCs/>
          <w:color w:val="000000"/>
          <w:sz w:val="21"/>
          <w:szCs w:val="21"/>
          <w:lang w:val="en-US" w:eastAsia="zh-CN"/>
        </w:rPr>
        <w:t>三</w:t>
      </w:r>
      <w:bookmarkEnd w:id="51"/>
      <w:r>
        <w:rPr>
          <w:rFonts w:hint="eastAsia" w:ascii="宋体"/>
          <w:b/>
          <w:bCs/>
          <w:color w:val="000000"/>
          <w:sz w:val="21"/>
          <w:szCs w:val="21"/>
          <w:lang w:val="en-US" w:eastAsia="zh-CN"/>
        </w:rPr>
        <w:t>、</w:t>
      </w:r>
      <w:r>
        <w:rPr>
          <w:rFonts w:hint="default" w:ascii="宋体"/>
          <w:b/>
          <w:bCs/>
          <w:color w:val="000000"/>
          <w:sz w:val="21"/>
          <w:szCs w:val="21"/>
          <w:lang w:val="en-US" w:eastAsia="zh-CN"/>
        </w:rPr>
        <w:t>实施规模</w:t>
      </w:r>
      <w:bookmarkEnd w:id="52"/>
      <w:bookmarkEnd w:id="53"/>
      <w:bookmarkEnd w:id="54"/>
      <w:bookmarkEnd w:id="55"/>
      <w:bookmarkEnd w:id="56"/>
      <w:bookmarkEnd w:id="57"/>
      <w:bookmarkEnd w:id="58"/>
      <w:bookmarkEnd w:id="59"/>
      <w:bookmarkEnd w:id="60"/>
    </w:p>
    <w:p w14:paraId="18D2AA4F">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eastAsia="宋体"/>
          <w:b w:val="0"/>
          <w:bCs w:val="0"/>
          <w:color w:val="000000"/>
          <w:sz w:val="21"/>
          <w:szCs w:val="21"/>
          <w:lang w:val="en-US" w:eastAsia="zh-CN"/>
        </w:rPr>
      </w:pPr>
      <w:bookmarkStart w:id="61" w:name="_Toc22730"/>
      <w:bookmarkStart w:id="62" w:name="_Toc30941"/>
      <w:bookmarkStart w:id="63" w:name="_Toc21554"/>
      <w:bookmarkStart w:id="64" w:name="_Toc16304"/>
      <w:bookmarkStart w:id="65" w:name="_Toc8458"/>
      <w:r>
        <w:rPr>
          <w:rFonts w:hint="default" w:ascii="宋体" w:eastAsia="宋体"/>
          <w:b w:val="0"/>
          <w:bCs w:val="0"/>
          <w:color w:val="000000"/>
          <w:sz w:val="21"/>
          <w:szCs w:val="21"/>
          <w:lang w:val="en-US" w:eastAsia="zh-CN"/>
        </w:rPr>
        <w:t>根据《广东省林业局关于印发森林质量精准提升行动方案的通知》（粤林函〔2023〕10号）精神，</w:t>
      </w:r>
      <w:r>
        <w:rPr>
          <w:rFonts w:hint="eastAsia" w:ascii="宋体" w:eastAsia="宋体"/>
          <w:b w:val="0"/>
          <w:bCs w:val="0"/>
          <w:color w:val="000000"/>
          <w:sz w:val="21"/>
          <w:szCs w:val="21"/>
          <w:lang w:val="en-US" w:eastAsia="zh-CN"/>
        </w:rPr>
        <w:t>湛江经济开发区规划和自然资源局</w:t>
      </w:r>
      <w:r>
        <w:rPr>
          <w:rFonts w:hint="default" w:ascii="宋体" w:eastAsia="宋体"/>
          <w:b w:val="0"/>
          <w:bCs w:val="0"/>
          <w:color w:val="000000"/>
          <w:sz w:val="21"/>
          <w:szCs w:val="21"/>
          <w:lang w:val="en-US" w:eastAsia="zh-CN"/>
        </w:rPr>
        <w:t>在充分调查的基础上，结合湛江经开区实际，建设“</w:t>
      </w:r>
      <w:r>
        <w:rPr>
          <w:rFonts w:hint="eastAsia" w:ascii="宋体" w:eastAsia="宋体"/>
          <w:b w:val="0"/>
          <w:bCs w:val="0"/>
          <w:color w:val="000000"/>
          <w:sz w:val="21"/>
          <w:szCs w:val="21"/>
          <w:lang w:val="en-US" w:eastAsia="zh-CN"/>
        </w:rPr>
        <w:t>湛江经济技术开发区2026年森林质量精准提升（新造林抚育）项目</w:t>
      </w:r>
      <w:r>
        <w:rPr>
          <w:rFonts w:hint="default" w:ascii="宋体" w:eastAsia="宋体"/>
          <w:b w:val="0"/>
          <w:bCs w:val="0"/>
          <w:color w:val="000000"/>
          <w:sz w:val="21"/>
          <w:szCs w:val="21"/>
          <w:lang w:val="en-US" w:eastAsia="zh-CN"/>
        </w:rPr>
        <w:t>”。</w:t>
      </w:r>
    </w:p>
    <w:p w14:paraId="69AA179B">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eastAsia="宋体"/>
          <w:b w:val="0"/>
          <w:bCs w:val="0"/>
          <w:color w:val="000000"/>
          <w:sz w:val="21"/>
          <w:szCs w:val="21"/>
          <w:lang w:val="en-US" w:eastAsia="zh-CN"/>
        </w:rPr>
      </w:pPr>
      <w:r>
        <w:rPr>
          <w:rFonts w:hint="default" w:ascii="宋体" w:eastAsia="宋体"/>
          <w:b w:val="0"/>
          <w:bCs w:val="0"/>
          <w:color w:val="000000"/>
          <w:sz w:val="21"/>
          <w:szCs w:val="21"/>
          <w:lang w:val="en-US" w:eastAsia="zh-CN"/>
        </w:rPr>
        <w:t>根据《广东省林业局关于印发森林质量精准提升行动技术指南的通知》（粤林函〔2023〕11号），以及本项目设计原则，经现场调查规划，</w:t>
      </w:r>
      <w:r>
        <w:rPr>
          <w:rFonts w:hint="eastAsia" w:ascii="宋体" w:eastAsia="宋体"/>
          <w:b w:val="0"/>
          <w:bCs w:val="0"/>
          <w:color w:val="000000"/>
          <w:sz w:val="21"/>
          <w:szCs w:val="21"/>
          <w:lang w:val="en-US" w:eastAsia="zh-CN"/>
        </w:rPr>
        <w:t>湛江经济技术开发区2026年森林质量精准提升（新造林抚育）项目</w:t>
      </w:r>
      <w:r>
        <w:rPr>
          <w:rFonts w:hint="default" w:ascii="宋体" w:eastAsia="宋体"/>
          <w:b w:val="0"/>
          <w:bCs w:val="0"/>
          <w:color w:val="000000"/>
          <w:sz w:val="21"/>
          <w:szCs w:val="21"/>
          <w:lang w:val="en-US" w:eastAsia="zh-CN"/>
        </w:rPr>
        <w:t>规划建设面积</w:t>
      </w:r>
      <w:r>
        <w:rPr>
          <w:rFonts w:hint="eastAsia" w:ascii="宋体" w:eastAsia="宋体"/>
          <w:b w:val="0"/>
          <w:bCs w:val="0"/>
          <w:color w:val="000000"/>
          <w:sz w:val="21"/>
          <w:szCs w:val="21"/>
          <w:lang w:val="en-US" w:eastAsia="zh-CN"/>
        </w:rPr>
        <w:t>3</w:t>
      </w:r>
      <w:r>
        <w:rPr>
          <w:rFonts w:hint="default" w:ascii="宋体" w:eastAsia="宋体"/>
          <w:b w:val="0"/>
          <w:bCs w:val="0"/>
          <w:color w:val="000000"/>
          <w:sz w:val="21"/>
          <w:szCs w:val="21"/>
          <w:lang w:val="en-US" w:eastAsia="zh-CN"/>
        </w:rPr>
        <w:t>20亩，分布在湛江经开区东简街道，涉及</w:t>
      </w:r>
      <w:r>
        <w:rPr>
          <w:rFonts w:hint="eastAsia" w:ascii="宋体" w:eastAsia="宋体"/>
          <w:b w:val="0"/>
          <w:bCs w:val="0"/>
          <w:color w:val="000000"/>
          <w:sz w:val="21"/>
          <w:szCs w:val="21"/>
          <w:lang w:val="en-US" w:eastAsia="zh-CN"/>
        </w:rPr>
        <w:t>3</w:t>
      </w:r>
      <w:r>
        <w:rPr>
          <w:rFonts w:hint="default" w:ascii="宋体" w:eastAsia="宋体"/>
          <w:b w:val="0"/>
          <w:bCs w:val="0"/>
          <w:color w:val="000000"/>
          <w:sz w:val="21"/>
          <w:szCs w:val="21"/>
          <w:lang w:val="en-US" w:eastAsia="zh-CN"/>
        </w:rPr>
        <w:t>个行政村，共计</w:t>
      </w:r>
      <w:r>
        <w:rPr>
          <w:rFonts w:hint="eastAsia" w:ascii="宋体" w:eastAsia="宋体"/>
          <w:b w:val="0"/>
          <w:bCs w:val="0"/>
          <w:color w:val="000000"/>
          <w:sz w:val="21"/>
          <w:szCs w:val="21"/>
          <w:lang w:val="en-US" w:eastAsia="zh-CN"/>
        </w:rPr>
        <w:t>6</w:t>
      </w:r>
      <w:r>
        <w:rPr>
          <w:rFonts w:hint="default" w:ascii="宋体" w:eastAsia="宋体"/>
          <w:b w:val="0"/>
          <w:bCs w:val="0"/>
          <w:color w:val="000000"/>
          <w:sz w:val="21"/>
          <w:szCs w:val="21"/>
          <w:lang w:val="en-US" w:eastAsia="zh-CN"/>
        </w:rPr>
        <w:t>个作业小班。具体情况详见下表3-1：</w:t>
      </w:r>
      <w:bookmarkStart w:id="194" w:name="_GoBack"/>
      <w:bookmarkEnd w:id="194"/>
    </w:p>
    <w:p w14:paraId="36CD1267">
      <w:pPr>
        <w:keepNext w:val="0"/>
        <w:keepLines w:val="0"/>
        <w:pageBreakBefore w:val="0"/>
        <w:widowControl/>
        <w:numPr>
          <w:ilvl w:val="0"/>
          <w:numId w:val="0"/>
        </w:numPr>
        <w:kinsoku/>
        <w:wordWrap/>
        <w:overflowPunct/>
        <w:topLinePunct w:val="0"/>
        <w:autoSpaceDE/>
        <w:autoSpaceDN/>
        <w:bidi w:val="0"/>
        <w:adjustRightInd/>
        <w:snapToGrid/>
        <w:spacing w:line="360" w:lineRule="auto"/>
        <w:textAlignment w:val="auto"/>
        <w:rPr>
          <w:rFonts w:hint="default" w:ascii="宋体"/>
          <w:b w:val="0"/>
          <w:bCs w:val="0"/>
          <w:color w:val="000000"/>
          <w:sz w:val="21"/>
          <w:szCs w:val="21"/>
          <w:lang w:val="en-US" w:eastAsia="zh-CN"/>
        </w:rPr>
      </w:pPr>
      <w:r>
        <w:rPr>
          <w:rFonts w:hint="default" w:ascii="宋体"/>
          <w:b w:val="0"/>
          <w:bCs w:val="0"/>
          <w:color w:val="000000"/>
          <w:sz w:val="21"/>
          <w:szCs w:val="21"/>
          <w:lang w:val="en-US" w:eastAsia="zh-CN"/>
        </w:rPr>
        <w:t>表3-1   实施规模规划设计表</w:t>
      </w:r>
    </w:p>
    <w:tbl>
      <w:tblPr>
        <w:tblStyle w:val="5"/>
        <w:tblW w:w="499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51"/>
        <w:gridCol w:w="2499"/>
        <w:gridCol w:w="1691"/>
        <w:gridCol w:w="1670"/>
        <w:gridCol w:w="1343"/>
        <w:gridCol w:w="874"/>
      </w:tblGrid>
      <w:tr w14:paraId="6CDE8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trPr>
        <w:tc>
          <w:tcPr>
            <w:tcW w:w="848" w:type="pct"/>
            <w:noWrap w:val="0"/>
            <w:vAlign w:val="center"/>
          </w:tcPr>
          <w:p w14:paraId="59F4C4BD">
            <w:pPr>
              <w:keepNext w:val="0"/>
              <w:keepLines w:val="0"/>
              <w:pageBreakBefore w:val="0"/>
              <w:widowControl/>
              <w:numPr>
                <w:ilvl w:val="0"/>
                <w:numId w:val="0"/>
              </w:numPr>
              <w:kinsoku/>
              <w:wordWrap/>
              <w:overflowPunct/>
              <w:topLinePunct w:val="0"/>
              <w:autoSpaceDE/>
              <w:autoSpaceDN/>
              <w:bidi w:val="0"/>
              <w:adjustRightInd/>
              <w:snapToGrid/>
              <w:spacing w:line="360" w:lineRule="auto"/>
              <w:jc w:val="both"/>
              <w:textAlignment w:val="auto"/>
              <w:rPr>
                <w:rFonts w:hint="default" w:ascii="宋体"/>
                <w:b w:val="0"/>
                <w:bCs w:val="0"/>
                <w:color w:val="000000"/>
                <w:sz w:val="21"/>
                <w:szCs w:val="21"/>
                <w:lang w:val="en-US" w:eastAsia="zh-CN"/>
              </w:rPr>
            </w:pPr>
            <w:r>
              <w:rPr>
                <w:rFonts w:hint="default" w:ascii="宋体"/>
                <w:b w:val="0"/>
                <w:bCs w:val="0"/>
                <w:color w:val="000000"/>
                <w:sz w:val="21"/>
                <w:szCs w:val="21"/>
                <w:lang w:val="en-US" w:eastAsia="zh-CN"/>
              </w:rPr>
              <w:t>镇</w:t>
            </w:r>
          </w:p>
        </w:tc>
        <w:tc>
          <w:tcPr>
            <w:tcW w:w="1284" w:type="pct"/>
            <w:noWrap w:val="0"/>
            <w:vAlign w:val="center"/>
          </w:tcPr>
          <w:p w14:paraId="504CA641">
            <w:pPr>
              <w:keepNext w:val="0"/>
              <w:keepLines w:val="0"/>
              <w:pageBreakBefore w:val="0"/>
              <w:widowControl/>
              <w:numPr>
                <w:ilvl w:val="0"/>
                <w:numId w:val="0"/>
              </w:numPr>
              <w:kinsoku/>
              <w:wordWrap/>
              <w:overflowPunct/>
              <w:topLinePunct w:val="0"/>
              <w:autoSpaceDE/>
              <w:autoSpaceDN/>
              <w:bidi w:val="0"/>
              <w:adjustRightInd/>
              <w:snapToGrid/>
              <w:spacing w:line="360" w:lineRule="auto"/>
              <w:jc w:val="both"/>
              <w:textAlignment w:val="auto"/>
              <w:rPr>
                <w:rFonts w:hint="default" w:ascii="宋体"/>
                <w:b w:val="0"/>
                <w:bCs w:val="0"/>
                <w:color w:val="000000"/>
                <w:sz w:val="21"/>
                <w:szCs w:val="21"/>
                <w:lang w:val="en-US" w:eastAsia="zh-CN"/>
              </w:rPr>
            </w:pPr>
            <w:r>
              <w:rPr>
                <w:rFonts w:hint="default" w:ascii="宋体"/>
                <w:b w:val="0"/>
                <w:bCs w:val="0"/>
                <w:color w:val="000000"/>
                <w:sz w:val="21"/>
                <w:szCs w:val="21"/>
                <w:lang w:val="en-US" w:eastAsia="zh-CN"/>
              </w:rPr>
              <w:t>村</w:t>
            </w:r>
          </w:p>
        </w:tc>
        <w:tc>
          <w:tcPr>
            <w:tcW w:w="869" w:type="pct"/>
            <w:noWrap w:val="0"/>
            <w:vAlign w:val="center"/>
          </w:tcPr>
          <w:p w14:paraId="36E7EEA9">
            <w:pPr>
              <w:keepNext w:val="0"/>
              <w:keepLines w:val="0"/>
              <w:pageBreakBefore w:val="0"/>
              <w:widowControl/>
              <w:numPr>
                <w:ilvl w:val="0"/>
                <w:numId w:val="0"/>
              </w:numPr>
              <w:kinsoku/>
              <w:wordWrap/>
              <w:overflowPunct/>
              <w:topLinePunct w:val="0"/>
              <w:autoSpaceDE/>
              <w:autoSpaceDN/>
              <w:bidi w:val="0"/>
              <w:adjustRightInd/>
              <w:snapToGrid/>
              <w:spacing w:line="360" w:lineRule="auto"/>
              <w:jc w:val="both"/>
              <w:textAlignment w:val="auto"/>
              <w:rPr>
                <w:rFonts w:hint="default" w:ascii="宋体"/>
                <w:b w:val="0"/>
                <w:bCs w:val="0"/>
                <w:color w:val="000000"/>
                <w:sz w:val="21"/>
                <w:szCs w:val="21"/>
                <w:lang w:val="en-US" w:eastAsia="zh-CN"/>
              </w:rPr>
            </w:pPr>
            <w:r>
              <w:rPr>
                <w:rFonts w:hint="default" w:ascii="宋体"/>
                <w:b w:val="0"/>
                <w:bCs w:val="0"/>
                <w:color w:val="000000"/>
                <w:sz w:val="21"/>
                <w:szCs w:val="21"/>
                <w:lang w:val="en-US" w:eastAsia="zh-CN"/>
              </w:rPr>
              <w:t>面积（亩）</w:t>
            </w:r>
          </w:p>
        </w:tc>
        <w:tc>
          <w:tcPr>
            <w:tcW w:w="858" w:type="pct"/>
            <w:noWrap w:val="0"/>
            <w:vAlign w:val="center"/>
          </w:tcPr>
          <w:p w14:paraId="5861D96A">
            <w:pPr>
              <w:keepNext w:val="0"/>
              <w:keepLines w:val="0"/>
              <w:pageBreakBefore w:val="0"/>
              <w:widowControl/>
              <w:numPr>
                <w:ilvl w:val="0"/>
                <w:numId w:val="0"/>
              </w:numPr>
              <w:kinsoku/>
              <w:wordWrap/>
              <w:overflowPunct/>
              <w:topLinePunct w:val="0"/>
              <w:autoSpaceDE/>
              <w:autoSpaceDN/>
              <w:bidi w:val="0"/>
              <w:adjustRightInd/>
              <w:snapToGrid/>
              <w:spacing w:line="360" w:lineRule="auto"/>
              <w:jc w:val="both"/>
              <w:textAlignment w:val="auto"/>
              <w:rPr>
                <w:rFonts w:hint="default" w:ascii="宋体"/>
                <w:b w:val="0"/>
                <w:bCs w:val="0"/>
                <w:color w:val="000000"/>
                <w:sz w:val="21"/>
                <w:szCs w:val="21"/>
                <w:lang w:val="en-US" w:eastAsia="zh-CN"/>
              </w:rPr>
            </w:pPr>
            <w:r>
              <w:rPr>
                <w:rFonts w:hint="default" w:ascii="宋体"/>
                <w:b w:val="0"/>
                <w:bCs w:val="0"/>
                <w:color w:val="000000"/>
                <w:sz w:val="21"/>
                <w:szCs w:val="21"/>
                <w:lang w:val="en-US" w:eastAsia="zh-CN"/>
              </w:rPr>
              <w:t>作业类型</w:t>
            </w:r>
          </w:p>
        </w:tc>
        <w:tc>
          <w:tcPr>
            <w:tcW w:w="690" w:type="pct"/>
            <w:noWrap w:val="0"/>
            <w:vAlign w:val="center"/>
          </w:tcPr>
          <w:p w14:paraId="097FA41C">
            <w:pPr>
              <w:keepNext w:val="0"/>
              <w:keepLines w:val="0"/>
              <w:pageBreakBefore w:val="0"/>
              <w:widowControl/>
              <w:numPr>
                <w:ilvl w:val="0"/>
                <w:numId w:val="0"/>
              </w:numPr>
              <w:kinsoku/>
              <w:wordWrap/>
              <w:overflowPunct/>
              <w:topLinePunct w:val="0"/>
              <w:autoSpaceDE/>
              <w:autoSpaceDN/>
              <w:bidi w:val="0"/>
              <w:adjustRightInd/>
              <w:snapToGrid/>
              <w:spacing w:line="360" w:lineRule="auto"/>
              <w:jc w:val="both"/>
              <w:textAlignment w:val="auto"/>
              <w:rPr>
                <w:rFonts w:hint="default" w:ascii="宋体"/>
                <w:b w:val="0"/>
                <w:bCs w:val="0"/>
                <w:color w:val="000000"/>
                <w:sz w:val="21"/>
                <w:szCs w:val="21"/>
                <w:lang w:val="en-US" w:eastAsia="zh-CN"/>
              </w:rPr>
            </w:pPr>
            <w:r>
              <w:rPr>
                <w:rFonts w:hint="default" w:ascii="宋体"/>
                <w:b w:val="0"/>
                <w:bCs w:val="0"/>
                <w:color w:val="000000"/>
                <w:sz w:val="21"/>
                <w:szCs w:val="21"/>
                <w:lang w:val="en-US" w:eastAsia="zh-CN"/>
              </w:rPr>
              <w:t>作业小班（个）</w:t>
            </w:r>
          </w:p>
        </w:tc>
        <w:tc>
          <w:tcPr>
            <w:tcW w:w="449" w:type="pct"/>
            <w:noWrap w:val="0"/>
            <w:vAlign w:val="center"/>
          </w:tcPr>
          <w:p w14:paraId="1817C04C">
            <w:pPr>
              <w:keepNext w:val="0"/>
              <w:keepLines w:val="0"/>
              <w:pageBreakBefore w:val="0"/>
              <w:widowControl/>
              <w:numPr>
                <w:ilvl w:val="0"/>
                <w:numId w:val="0"/>
              </w:numPr>
              <w:kinsoku/>
              <w:wordWrap/>
              <w:overflowPunct/>
              <w:topLinePunct w:val="0"/>
              <w:autoSpaceDE/>
              <w:autoSpaceDN/>
              <w:bidi w:val="0"/>
              <w:adjustRightInd/>
              <w:snapToGrid/>
              <w:spacing w:line="360" w:lineRule="auto"/>
              <w:jc w:val="both"/>
              <w:textAlignment w:val="auto"/>
              <w:rPr>
                <w:rFonts w:hint="default" w:ascii="宋体"/>
                <w:b w:val="0"/>
                <w:bCs w:val="0"/>
                <w:color w:val="000000"/>
                <w:sz w:val="21"/>
                <w:szCs w:val="21"/>
                <w:lang w:val="en-US" w:eastAsia="zh-CN"/>
              </w:rPr>
            </w:pPr>
            <w:r>
              <w:rPr>
                <w:rFonts w:hint="default" w:ascii="宋体"/>
                <w:b w:val="0"/>
                <w:bCs w:val="0"/>
                <w:color w:val="000000"/>
                <w:sz w:val="21"/>
                <w:szCs w:val="21"/>
                <w:lang w:val="en-US" w:eastAsia="zh-CN"/>
              </w:rPr>
              <w:t>备注</w:t>
            </w:r>
          </w:p>
        </w:tc>
      </w:tr>
      <w:tr w14:paraId="6C39C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1651" w:type="dxa"/>
            <w:noWrap w:val="0"/>
            <w:vAlign w:val="center"/>
          </w:tcPr>
          <w:p w14:paraId="35DCD782">
            <w:pPr>
              <w:keepNext w:val="0"/>
              <w:keepLines w:val="0"/>
              <w:widowControl/>
              <w:suppressLineNumbers w:val="0"/>
              <w:jc w:val="center"/>
              <w:textAlignment w:val="center"/>
              <w:rPr>
                <w:rFonts w:hint="default" w:ascii="宋体"/>
                <w:b w:val="0"/>
                <w:bCs w:val="0"/>
                <w:color w:val="000000"/>
                <w:sz w:val="21"/>
                <w:szCs w:val="21"/>
                <w:lang w:val="en-US" w:eastAsia="zh-CN"/>
              </w:rPr>
            </w:pPr>
            <w:r>
              <w:rPr>
                <w:rFonts w:hint="eastAsia" w:ascii="仿宋" w:hAnsi="仿宋" w:eastAsia="仿宋" w:cs="仿宋"/>
                <w:i w:val="0"/>
                <w:iCs w:val="0"/>
                <w:color w:val="000000"/>
                <w:kern w:val="0"/>
                <w:sz w:val="24"/>
                <w:szCs w:val="24"/>
                <w:u w:val="none"/>
                <w:lang w:val="en-US" w:eastAsia="zh-CN" w:bidi="ar"/>
              </w:rPr>
              <w:t>东简街道</w:t>
            </w:r>
          </w:p>
        </w:tc>
        <w:tc>
          <w:tcPr>
            <w:tcW w:w="2499" w:type="dxa"/>
            <w:noWrap w:val="0"/>
            <w:vAlign w:val="center"/>
          </w:tcPr>
          <w:p w14:paraId="1EA2DF53">
            <w:pPr>
              <w:keepNext w:val="0"/>
              <w:keepLines w:val="0"/>
              <w:widowControl/>
              <w:suppressLineNumbers w:val="0"/>
              <w:jc w:val="center"/>
              <w:textAlignment w:val="center"/>
              <w:rPr>
                <w:rFonts w:hint="default" w:ascii="宋体"/>
                <w:b w:val="0"/>
                <w:bCs w:val="0"/>
                <w:color w:val="000000"/>
                <w:sz w:val="21"/>
                <w:szCs w:val="21"/>
                <w:lang w:val="en-US" w:eastAsia="zh-CN"/>
              </w:rPr>
            </w:pPr>
            <w:r>
              <w:rPr>
                <w:rFonts w:hint="eastAsia" w:ascii="仿宋" w:hAnsi="仿宋" w:eastAsia="仿宋" w:cs="仿宋"/>
                <w:i w:val="0"/>
                <w:iCs w:val="0"/>
                <w:color w:val="000000"/>
                <w:kern w:val="0"/>
                <w:sz w:val="24"/>
                <w:szCs w:val="24"/>
                <w:u w:val="none"/>
                <w:lang w:val="en-US" w:eastAsia="zh-CN" w:bidi="ar"/>
              </w:rPr>
              <w:t>蔚律村</w:t>
            </w:r>
          </w:p>
        </w:tc>
        <w:tc>
          <w:tcPr>
            <w:tcW w:w="1691" w:type="dxa"/>
            <w:noWrap w:val="0"/>
            <w:vAlign w:val="center"/>
          </w:tcPr>
          <w:p w14:paraId="602F10A8">
            <w:pPr>
              <w:keepNext w:val="0"/>
              <w:keepLines w:val="0"/>
              <w:widowControl/>
              <w:suppressLineNumbers w:val="0"/>
              <w:jc w:val="center"/>
              <w:textAlignment w:val="center"/>
              <w:rPr>
                <w:rFonts w:hint="default" w:ascii="宋体"/>
                <w:b w:val="0"/>
                <w:bCs w:val="0"/>
                <w:color w:val="000000"/>
                <w:sz w:val="21"/>
                <w:szCs w:val="21"/>
                <w:lang w:val="en-US" w:eastAsia="zh-CN"/>
              </w:rPr>
            </w:pPr>
            <w:r>
              <w:rPr>
                <w:rFonts w:hint="default" w:ascii="Times New Roman" w:hAnsi="Times New Roman" w:eastAsia="宋体" w:cs="Times New Roman"/>
                <w:i w:val="0"/>
                <w:iCs w:val="0"/>
                <w:color w:val="000000"/>
                <w:kern w:val="0"/>
                <w:sz w:val="24"/>
                <w:szCs w:val="24"/>
                <w:u w:val="none"/>
                <w:lang w:val="en-US" w:eastAsia="zh-CN" w:bidi="ar"/>
              </w:rPr>
              <w:t>120</w:t>
            </w:r>
          </w:p>
        </w:tc>
        <w:tc>
          <w:tcPr>
            <w:tcW w:w="1670" w:type="dxa"/>
            <w:noWrap w:val="0"/>
            <w:vAlign w:val="center"/>
          </w:tcPr>
          <w:p w14:paraId="25FA8203">
            <w:pPr>
              <w:keepNext w:val="0"/>
              <w:keepLines w:val="0"/>
              <w:widowControl/>
              <w:suppressLineNumbers w:val="0"/>
              <w:jc w:val="center"/>
              <w:textAlignment w:val="center"/>
              <w:rPr>
                <w:rFonts w:hint="default" w:ascii="宋体"/>
                <w:b w:val="0"/>
                <w:bCs w:val="0"/>
                <w:color w:val="000000"/>
                <w:sz w:val="21"/>
                <w:szCs w:val="21"/>
                <w:lang w:val="en-US" w:eastAsia="zh-CN"/>
              </w:rPr>
            </w:pPr>
            <w:r>
              <w:rPr>
                <w:rFonts w:hint="eastAsia" w:ascii="仿宋" w:hAnsi="仿宋" w:eastAsia="仿宋" w:cs="仿宋"/>
                <w:i w:val="0"/>
                <w:iCs w:val="0"/>
                <w:color w:val="000000"/>
                <w:kern w:val="0"/>
                <w:sz w:val="24"/>
                <w:szCs w:val="24"/>
                <w:u w:val="none"/>
                <w:lang w:val="en-US" w:eastAsia="zh-CN" w:bidi="ar"/>
              </w:rPr>
              <w:t>新造林抚育</w:t>
            </w:r>
          </w:p>
        </w:tc>
        <w:tc>
          <w:tcPr>
            <w:tcW w:w="1343" w:type="dxa"/>
            <w:noWrap w:val="0"/>
            <w:vAlign w:val="center"/>
          </w:tcPr>
          <w:p w14:paraId="46B12111">
            <w:pPr>
              <w:keepNext w:val="0"/>
              <w:keepLines w:val="0"/>
              <w:widowControl/>
              <w:suppressLineNumbers w:val="0"/>
              <w:jc w:val="center"/>
              <w:textAlignment w:val="center"/>
              <w:rPr>
                <w:rFonts w:hint="default" w:ascii="宋体"/>
                <w:b w:val="0"/>
                <w:bCs w:val="0"/>
                <w:color w:val="000000"/>
                <w:sz w:val="21"/>
                <w:szCs w:val="21"/>
                <w:lang w:val="en-US" w:eastAsia="zh-CN"/>
              </w:rPr>
            </w:pPr>
            <w:r>
              <w:rPr>
                <w:rFonts w:hint="default" w:ascii="Times New Roman" w:hAnsi="Times New Roman" w:eastAsia="宋体" w:cs="Times New Roman"/>
                <w:i w:val="0"/>
                <w:iCs w:val="0"/>
                <w:color w:val="000000"/>
                <w:kern w:val="0"/>
                <w:sz w:val="24"/>
                <w:szCs w:val="24"/>
                <w:u w:val="none"/>
                <w:lang w:val="en-US" w:eastAsia="zh-CN" w:bidi="ar"/>
              </w:rPr>
              <w:t>4</w:t>
            </w:r>
          </w:p>
        </w:tc>
        <w:tc>
          <w:tcPr>
            <w:tcW w:w="449" w:type="pct"/>
            <w:noWrap w:val="0"/>
            <w:vAlign w:val="center"/>
          </w:tcPr>
          <w:p w14:paraId="60D98BBC">
            <w:pPr>
              <w:keepNext w:val="0"/>
              <w:keepLines w:val="0"/>
              <w:pageBreakBefore w:val="0"/>
              <w:widowControl/>
              <w:numPr>
                <w:ilvl w:val="0"/>
                <w:numId w:val="0"/>
              </w:numPr>
              <w:kinsoku/>
              <w:wordWrap/>
              <w:overflowPunct/>
              <w:topLinePunct w:val="0"/>
              <w:autoSpaceDE/>
              <w:autoSpaceDN/>
              <w:bidi w:val="0"/>
              <w:adjustRightInd/>
              <w:snapToGrid/>
              <w:spacing w:line="360" w:lineRule="auto"/>
              <w:jc w:val="both"/>
              <w:textAlignment w:val="auto"/>
              <w:rPr>
                <w:rFonts w:hint="default" w:ascii="宋体"/>
                <w:b w:val="0"/>
                <w:bCs w:val="0"/>
                <w:color w:val="000000"/>
                <w:sz w:val="21"/>
                <w:szCs w:val="21"/>
                <w:lang w:val="en-US" w:eastAsia="zh-CN"/>
              </w:rPr>
            </w:pPr>
          </w:p>
        </w:tc>
      </w:tr>
      <w:tr w14:paraId="642BF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trPr>
        <w:tc>
          <w:tcPr>
            <w:tcW w:w="1651" w:type="dxa"/>
            <w:noWrap w:val="0"/>
            <w:vAlign w:val="center"/>
          </w:tcPr>
          <w:p w14:paraId="74C8C464">
            <w:pPr>
              <w:keepNext w:val="0"/>
              <w:keepLines w:val="0"/>
              <w:widowControl/>
              <w:suppressLineNumbers w:val="0"/>
              <w:jc w:val="center"/>
              <w:textAlignment w:val="center"/>
              <w:rPr>
                <w:rFonts w:hint="default" w:ascii="宋体"/>
                <w:b w:val="0"/>
                <w:bCs w:val="0"/>
                <w:color w:val="000000"/>
                <w:sz w:val="21"/>
                <w:szCs w:val="21"/>
                <w:lang w:val="en-US" w:eastAsia="zh-CN"/>
              </w:rPr>
            </w:pPr>
            <w:r>
              <w:rPr>
                <w:rFonts w:hint="eastAsia" w:ascii="仿宋" w:hAnsi="仿宋" w:eastAsia="仿宋" w:cs="仿宋"/>
                <w:i w:val="0"/>
                <w:iCs w:val="0"/>
                <w:color w:val="000000"/>
                <w:kern w:val="0"/>
                <w:sz w:val="24"/>
                <w:szCs w:val="24"/>
                <w:u w:val="none"/>
                <w:lang w:val="en-US" w:eastAsia="zh-CN" w:bidi="ar"/>
              </w:rPr>
              <w:t>东简街道</w:t>
            </w:r>
          </w:p>
        </w:tc>
        <w:tc>
          <w:tcPr>
            <w:tcW w:w="2499" w:type="dxa"/>
            <w:noWrap w:val="0"/>
            <w:vAlign w:val="center"/>
          </w:tcPr>
          <w:p w14:paraId="71CA543B">
            <w:pPr>
              <w:keepNext w:val="0"/>
              <w:keepLines w:val="0"/>
              <w:widowControl/>
              <w:suppressLineNumbers w:val="0"/>
              <w:jc w:val="center"/>
              <w:textAlignment w:val="center"/>
              <w:rPr>
                <w:rFonts w:hint="default" w:ascii="宋体"/>
                <w:b w:val="0"/>
                <w:bCs w:val="0"/>
                <w:color w:val="000000"/>
                <w:sz w:val="21"/>
                <w:szCs w:val="21"/>
                <w:lang w:val="en-US" w:eastAsia="zh-CN"/>
              </w:rPr>
            </w:pPr>
            <w:r>
              <w:rPr>
                <w:rFonts w:hint="eastAsia" w:ascii="仿宋" w:hAnsi="仿宋" w:eastAsia="仿宋" w:cs="仿宋"/>
                <w:i w:val="0"/>
                <w:iCs w:val="0"/>
                <w:color w:val="000000"/>
                <w:kern w:val="0"/>
                <w:sz w:val="24"/>
                <w:szCs w:val="24"/>
                <w:u w:val="none"/>
                <w:lang w:val="en-US" w:eastAsia="zh-CN" w:bidi="ar"/>
              </w:rPr>
              <w:t>东简林场</w:t>
            </w:r>
          </w:p>
        </w:tc>
        <w:tc>
          <w:tcPr>
            <w:tcW w:w="1691" w:type="dxa"/>
            <w:noWrap w:val="0"/>
            <w:vAlign w:val="center"/>
          </w:tcPr>
          <w:p w14:paraId="4AA6AAD5">
            <w:pPr>
              <w:keepNext w:val="0"/>
              <w:keepLines w:val="0"/>
              <w:widowControl/>
              <w:suppressLineNumbers w:val="0"/>
              <w:jc w:val="center"/>
              <w:textAlignment w:val="center"/>
              <w:rPr>
                <w:rFonts w:hint="default" w:ascii="宋体"/>
                <w:b w:val="0"/>
                <w:bCs w:val="0"/>
                <w:color w:val="000000"/>
                <w:sz w:val="21"/>
                <w:szCs w:val="21"/>
                <w:lang w:val="en-US" w:eastAsia="zh-CN"/>
              </w:rPr>
            </w:pPr>
            <w:r>
              <w:rPr>
                <w:rFonts w:hint="default" w:ascii="Times New Roman" w:hAnsi="Times New Roman" w:eastAsia="宋体" w:cs="Times New Roman"/>
                <w:i w:val="0"/>
                <w:iCs w:val="0"/>
                <w:color w:val="000000"/>
                <w:kern w:val="0"/>
                <w:sz w:val="24"/>
                <w:szCs w:val="24"/>
                <w:u w:val="none"/>
                <w:lang w:val="en-US" w:eastAsia="zh-CN" w:bidi="ar"/>
              </w:rPr>
              <w:t>30</w:t>
            </w:r>
          </w:p>
        </w:tc>
        <w:tc>
          <w:tcPr>
            <w:tcW w:w="1670" w:type="dxa"/>
            <w:noWrap w:val="0"/>
            <w:vAlign w:val="center"/>
          </w:tcPr>
          <w:p w14:paraId="2E3D7592">
            <w:pPr>
              <w:keepNext w:val="0"/>
              <w:keepLines w:val="0"/>
              <w:widowControl/>
              <w:suppressLineNumbers w:val="0"/>
              <w:jc w:val="center"/>
              <w:textAlignment w:val="center"/>
              <w:rPr>
                <w:rFonts w:hint="default" w:ascii="宋体"/>
                <w:b w:val="0"/>
                <w:bCs w:val="0"/>
                <w:color w:val="000000"/>
                <w:sz w:val="21"/>
                <w:szCs w:val="21"/>
                <w:lang w:val="en-US" w:eastAsia="zh-CN"/>
              </w:rPr>
            </w:pPr>
            <w:r>
              <w:rPr>
                <w:rFonts w:hint="eastAsia" w:ascii="仿宋" w:hAnsi="仿宋" w:eastAsia="仿宋" w:cs="仿宋"/>
                <w:i w:val="0"/>
                <w:iCs w:val="0"/>
                <w:color w:val="000000"/>
                <w:kern w:val="0"/>
                <w:sz w:val="24"/>
                <w:szCs w:val="24"/>
                <w:u w:val="none"/>
                <w:lang w:val="en-US" w:eastAsia="zh-CN" w:bidi="ar"/>
              </w:rPr>
              <w:t>新造林抚育</w:t>
            </w:r>
          </w:p>
        </w:tc>
        <w:tc>
          <w:tcPr>
            <w:tcW w:w="1343" w:type="dxa"/>
            <w:noWrap w:val="0"/>
            <w:vAlign w:val="center"/>
          </w:tcPr>
          <w:p w14:paraId="6437781A">
            <w:pPr>
              <w:keepNext w:val="0"/>
              <w:keepLines w:val="0"/>
              <w:widowControl/>
              <w:suppressLineNumbers w:val="0"/>
              <w:jc w:val="center"/>
              <w:textAlignment w:val="center"/>
              <w:rPr>
                <w:rFonts w:hint="default" w:ascii="宋体"/>
                <w:b w:val="0"/>
                <w:bCs w:val="0"/>
                <w:color w:val="000000"/>
                <w:sz w:val="21"/>
                <w:szCs w:val="21"/>
                <w:lang w:val="en-US" w:eastAsia="zh-CN"/>
              </w:rPr>
            </w:pPr>
            <w:r>
              <w:rPr>
                <w:rFonts w:hint="default" w:ascii="Times New Roman" w:hAnsi="Times New Roman" w:eastAsia="宋体" w:cs="Times New Roman"/>
                <w:i w:val="0"/>
                <w:iCs w:val="0"/>
                <w:color w:val="000000"/>
                <w:kern w:val="0"/>
                <w:sz w:val="24"/>
                <w:szCs w:val="24"/>
                <w:u w:val="none"/>
                <w:lang w:val="en-US" w:eastAsia="zh-CN" w:bidi="ar"/>
              </w:rPr>
              <w:t>1</w:t>
            </w:r>
          </w:p>
        </w:tc>
        <w:tc>
          <w:tcPr>
            <w:tcW w:w="449" w:type="pct"/>
            <w:noWrap w:val="0"/>
            <w:vAlign w:val="center"/>
          </w:tcPr>
          <w:p w14:paraId="1945D89C">
            <w:pPr>
              <w:keepNext w:val="0"/>
              <w:keepLines w:val="0"/>
              <w:pageBreakBefore w:val="0"/>
              <w:widowControl/>
              <w:numPr>
                <w:ilvl w:val="0"/>
                <w:numId w:val="0"/>
              </w:numPr>
              <w:kinsoku/>
              <w:wordWrap/>
              <w:overflowPunct/>
              <w:topLinePunct w:val="0"/>
              <w:autoSpaceDE/>
              <w:autoSpaceDN/>
              <w:bidi w:val="0"/>
              <w:adjustRightInd/>
              <w:snapToGrid/>
              <w:spacing w:line="360" w:lineRule="auto"/>
              <w:jc w:val="both"/>
              <w:textAlignment w:val="auto"/>
              <w:rPr>
                <w:rFonts w:hint="default" w:ascii="宋体"/>
                <w:b w:val="0"/>
                <w:bCs w:val="0"/>
                <w:color w:val="000000"/>
                <w:sz w:val="21"/>
                <w:szCs w:val="21"/>
                <w:lang w:val="en-US" w:eastAsia="zh-CN"/>
              </w:rPr>
            </w:pPr>
          </w:p>
        </w:tc>
      </w:tr>
      <w:tr w14:paraId="4745D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1651" w:type="dxa"/>
            <w:noWrap w:val="0"/>
            <w:vAlign w:val="center"/>
          </w:tcPr>
          <w:p w14:paraId="0A4093FE">
            <w:pPr>
              <w:keepNext w:val="0"/>
              <w:keepLines w:val="0"/>
              <w:widowControl/>
              <w:suppressLineNumbers w:val="0"/>
              <w:jc w:val="center"/>
              <w:textAlignment w:val="center"/>
              <w:rPr>
                <w:rFonts w:hint="default" w:ascii="宋体"/>
                <w:b w:val="0"/>
                <w:bCs w:val="0"/>
                <w:color w:val="000000"/>
                <w:sz w:val="21"/>
                <w:szCs w:val="21"/>
                <w:lang w:val="en-US" w:eastAsia="zh-CN"/>
              </w:rPr>
            </w:pPr>
            <w:r>
              <w:rPr>
                <w:rFonts w:hint="eastAsia" w:ascii="仿宋" w:hAnsi="仿宋" w:eastAsia="仿宋" w:cs="仿宋"/>
                <w:i w:val="0"/>
                <w:iCs w:val="0"/>
                <w:color w:val="000000"/>
                <w:kern w:val="0"/>
                <w:sz w:val="24"/>
                <w:szCs w:val="24"/>
                <w:u w:val="none"/>
                <w:lang w:val="en-US" w:eastAsia="zh-CN" w:bidi="ar"/>
              </w:rPr>
              <w:t>东简街道</w:t>
            </w:r>
          </w:p>
        </w:tc>
        <w:tc>
          <w:tcPr>
            <w:tcW w:w="2499" w:type="dxa"/>
            <w:noWrap w:val="0"/>
            <w:vAlign w:val="center"/>
          </w:tcPr>
          <w:p w14:paraId="3C647C8C">
            <w:pPr>
              <w:keepNext w:val="0"/>
              <w:keepLines w:val="0"/>
              <w:widowControl/>
              <w:suppressLineNumbers w:val="0"/>
              <w:jc w:val="center"/>
              <w:textAlignment w:val="center"/>
              <w:rPr>
                <w:rFonts w:hint="default" w:ascii="宋体"/>
                <w:b w:val="0"/>
                <w:bCs w:val="0"/>
                <w:color w:val="000000"/>
                <w:sz w:val="21"/>
                <w:szCs w:val="21"/>
                <w:lang w:val="en-US" w:eastAsia="zh-CN"/>
              </w:rPr>
            </w:pPr>
            <w:r>
              <w:rPr>
                <w:rFonts w:hint="eastAsia" w:ascii="仿宋" w:hAnsi="仿宋" w:eastAsia="仿宋" w:cs="仿宋"/>
                <w:i w:val="0"/>
                <w:iCs w:val="0"/>
                <w:color w:val="000000"/>
                <w:kern w:val="0"/>
                <w:sz w:val="24"/>
                <w:szCs w:val="24"/>
                <w:u w:val="none"/>
                <w:lang w:val="en-US" w:eastAsia="zh-CN" w:bidi="ar"/>
              </w:rPr>
              <w:t>龙水村</w:t>
            </w:r>
          </w:p>
        </w:tc>
        <w:tc>
          <w:tcPr>
            <w:tcW w:w="1691" w:type="dxa"/>
            <w:noWrap w:val="0"/>
            <w:vAlign w:val="center"/>
          </w:tcPr>
          <w:p w14:paraId="6CEBE66A">
            <w:pPr>
              <w:keepNext w:val="0"/>
              <w:keepLines w:val="0"/>
              <w:widowControl/>
              <w:suppressLineNumbers w:val="0"/>
              <w:jc w:val="center"/>
              <w:textAlignment w:val="center"/>
              <w:rPr>
                <w:rFonts w:hint="default" w:ascii="宋体"/>
                <w:b w:val="0"/>
                <w:bCs w:val="0"/>
                <w:color w:val="000000"/>
                <w:sz w:val="21"/>
                <w:szCs w:val="21"/>
                <w:lang w:val="en-US" w:eastAsia="zh-CN"/>
              </w:rPr>
            </w:pPr>
            <w:r>
              <w:rPr>
                <w:rFonts w:hint="eastAsia" w:ascii="仿宋" w:hAnsi="仿宋" w:eastAsia="仿宋" w:cs="仿宋"/>
                <w:i w:val="0"/>
                <w:iCs w:val="0"/>
                <w:color w:val="000000"/>
                <w:kern w:val="0"/>
                <w:sz w:val="24"/>
                <w:szCs w:val="24"/>
                <w:u w:val="none"/>
                <w:lang w:val="en-US" w:eastAsia="zh-CN" w:bidi="ar"/>
              </w:rPr>
              <w:t>170</w:t>
            </w:r>
          </w:p>
        </w:tc>
        <w:tc>
          <w:tcPr>
            <w:tcW w:w="1670" w:type="dxa"/>
            <w:noWrap w:val="0"/>
            <w:vAlign w:val="center"/>
          </w:tcPr>
          <w:p w14:paraId="0C0DF623">
            <w:pPr>
              <w:keepNext w:val="0"/>
              <w:keepLines w:val="0"/>
              <w:widowControl/>
              <w:suppressLineNumbers w:val="0"/>
              <w:jc w:val="center"/>
              <w:textAlignment w:val="center"/>
              <w:rPr>
                <w:rFonts w:hint="default" w:ascii="宋体"/>
                <w:b w:val="0"/>
                <w:bCs w:val="0"/>
                <w:color w:val="000000"/>
                <w:sz w:val="21"/>
                <w:szCs w:val="21"/>
                <w:lang w:val="en-US" w:eastAsia="zh-CN"/>
              </w:rPr>
            </w:pPr>
            <w:r>
              <w:rPr>
                <w:rFonts w:hint="eastAsia" w:ascii="仿宋" w:hAnsi="仿宋" w:eastAsia="仿宋" w:cs="仿宋"/>
                <w:i w:val="0"/>
                <w:iCs w:val="0"/>
                <w:color w:val="000000"/>
                <w:kern w:val="0"/>
                <w:sz w:val="24"/>
                <w:szCs w:val="24"/>
                <w:u w:val="none"/>
                <w:lang w:val="en-US" w:eastAsia="zh-CN" w:bidi="ar"/>
              </w:rPr>
              <w:t>新造林抚育</w:t>
            </w:r>
          </w:p>
        </w:tc>
        <w:tc>
          <w:tcPr>
            <w:tcW w:w="1343" w:type="dxa"/>
            <w:noWrap w:val="0"/>
            <w:vAlign w:val="center"/>
          </w:tcPr>
          <w:p w14:paraId="1888C6D2">
            <w:pPr>
              <w:keepNext w:val="0"/>
              <w:keepLines w:val="0"/>
              <w:widowControl/>
              <w:suppressLineNumbers w:val="0"/>
              <w:jc w:val="center"/>
              <w:textAlignment w:val="center"/>
              <w:rPr>
                <w:rFonts w:hint="default" w:ascii="宋体"/>
                <w:b w:val="0"/>
                <w:bCs w:val="0"/>
                <w:color w:val="000000"/>
                <w:sz w:val="21"/>
                <w:szCs w:val="21"/>
                <w:lang w:val="en-US" w:eastAsia="zh-CN"/>
              </w:rPr>
            </w:pPr>
            <w:r>
              <w:rPr>
                <w:rFonts w:hint="eastAsia" w:ascii="仿宋" w:hAnsi="仿宋" w:eastAsia="仿宋" w:cs="仿宋"/>
                <w:i w:val="0"/>
                <w:iCs w:val="0"/>
                <w:color w:val="000000"/>
                <w:kern w:val="0"/>
                <w:sz w:val="24"/>
                <w:szCs w:val="24"/>
                <w:u w:val="none"/>
                <w:lang w:val="en-US" w:eastAsia="zh-CN" w:bidi="ar"/>
              </w:rPr>
              <w:t>1</w:t>
            </w:r>
          </w:p>
        </w:tc>
        <w:tc>
          <w:tcPr>
            <w:tcW w:w="449" w:type="pct"/>
            <w:noWrap w:val="0"/>
            <w:vAlign w:val="center"/>
          </w:tcPr>
          <w:p w14:paraId="6008798A">
            <w:pPr>
              <w:keepNext w:val="0"/>
              <w:keepLines w:val="0"/>
              <w:pageBreakBefore w:val="0"/>
              <w:widowControl/>
              <w:numPr>
                <w:ilvl w:val="0"/>
                <w:numId w:val="0"/>
              </w:numPr>
              <w:kinsoku/>
              <w:wordWrap/>
              <w:overflowPunct/>
              <w:topLinePunct w:val="0"/>
              <w:autoSpaceDE/>
              <w:autoSpaceDN/>
              <w:bidi w:val="0"/>
              <w:adjustRightInd/>
              <w:snapToGrid/>
              <w:spacing w:line="360" w:lineRule="auto"/>
              <w:jc w:val="both"/>
              <w:textAlignment w:val="auto"/>
              <w:rPr>
                <w:rFonts w:hint="default" w:ascii="宋体"/>
                <w:b w:val="0"/>
                <w:bCs w:val="0"/>
                <w:color w:val="000000"/>
                <w:sz w:val="21"/>
                <w:szCs w:val="21"/>
                <w:lang w:val="en-US" w:eastAsia="zh-CN"/>
              </w:rPr>
            </w:pPr>
          </w:p>
        </w:tc>
      </w:tr>
      <w:tr w14:paraId="0A3BD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4150" w:type="dxa"/>
            <w:gridSpan w:val="2"/>
            <w:shd w:val="clear" w:color="auto" w:fill="auto"/>
            <w:noWrap w:val="0"/>
            <w:vAlign w:val="center"/>
          </w:tcPr>
          <w:p w14:paraId="3FD01F4B">
            <w:pPr>
              <w:keepNext w:val="0"/>
              <w:keepLines w:val="0"/>
              <w:widowControl/>
              <w:suppressLineNumbers w:val="0"/>
              <w:jc w:val="center"/>
              <w:textAlignment w:val="center"/>
              <w:rPr>
                <w:rFonts w:hint="default" w:ascii="宋体" w:hAnsi="Times New Roman" w:eastAsia="宋体" w:cs="Times New Roman"/>
                <w:b w:val="0"/>
                <w:bCs w:val="0"/>
                <w:color w:val="000000"/>
                <w:sz w:val="21"/>
                <w:szCs w:val="21"/>
                <w:lang w:val="en-US" w:eastAsia="zh-CN" w:bidi="ar-SA"/>
              </w:rPr>
            </w:pPr>
            <w:r>
              <w:rPr>
                <w:rFonts w:hint="eastAsia" w:ascii="仿宋" w:hAnsi="仿宋" w:eastAsia="仿宋" w:cs="仿宋"/>
                <w:i w:val="0"/>
                <w:iCs w:val="0"/>
                <w:color w:val="000000"/>
                <w:kern w:val="0"/>
                <w:sz w:val="24"/>
                <w:szCs w:val="24"/>
                <w:u w:val="none"/>
                <w:lang w:val="en-US" w:eastAsia="zh-CN" w:bidi="ar"/>
              </w:rPr>
              <w:t>合计</w:t>
            </w:r>
          </w:p>
        </w:tc>
        <w:tc>
          <w:tcPr>
            <w:tcW w:w="1691" w:type="dxa"/>
            <w:shd w:val="clear" w:color="auto" w:fill="auto"/>
            <w:noWrap w:val="0"/>
            <w:vAlign w:val="center"/>
          </w:tcPr>
          <w:p w14:paraId="6E0119FB">
            <w:pPr>
              <w:keepNext w:val="0"/>
              <w:keepLines w:val="0"/>
              <w:widowControl/>
              <w:suppressLineNumbers w:val="0"/>
              <w:jc w:val="center"/>
              <w:textAlignment w:val="center"/>
              <w:rPr>
                <w:rFonts w:hint="default" w:ascii="宋体" w:hAnsi="Times New Roman" w:eastAsia="宋体" w:cs="Times New Roman"/>
                <w:b w:val="0"/>
                <w:bCs w:val="0"/>
                <w:color w:val="000000"/>
                <w:sz w:val="21"/>
                <w:szCs w:val="21"/>
                <w:lang w:val="en-US" w:eastAsia="zh-CN" w:bidi="ar-SA"/>
              </w:rPr>
            </w:pPr>
            <w:r>
              <w:rPr>
                <w:rFonts w:hint="eastAsia" w:ascii="Times New Roman" w:hAnsi="Times New Roman" w:eastAsia="宋体" w:cs="Times New Roman"/>
                <w:i w:val="0"/>
                <w:iCs w:val="0"/>
                <w:color w:val="000000"/>
                <w:kern w:val="0"/>
                <w:sz w:val="24"/>
                <w:szCs w:val="24"/>
                <w:u w:val="none"/>
                <w:lang w:val="en-US" w:eastAsia="zh-CN" w:bidi="ar"/>
              </w:rPr>
              <w:t>3</w:t>
            </w:r>
            <w:r>
              <w:rPr>
                <w:rFonts w:hint="default" w:ascii="Times New Roman" w:hAnsi="Times New Roman" w:eastAsia="宋体" w:cs="Times New Roman"/>
                <w:i w:val="0"/>
                <w:iCs w:val="0"/>
                <w:color w:val="000000"/>
                <w:kern w:val="0"/>
                <w:sz w:val="24"/>
                <w:szCs w:val="24"/>
                <w:u w:val="none"/>
                <w:lang w:val="en-US" w:eastAsia="zh-CN" w:bidi="ar"/>
              </w:rPr>
              <w:t>20</w:t>
            </w:r>
          </w:p>
        </w:tc>
        <w:tc>
          <w:tcPr>
            <w:tcW w:w="1670" w:type="dxa"/>
            <w:shd w:val="clear" w:color="auto" w:fill="auto"/>
            <w:noWrap w:val="0"/>
            <w:vAlign w:val="center"/>
          </w:tcPr>
          <w:p w14:paraId="1457BADE">
            <w:pPr>
              <w:widowControl w:val="0"/>
              <w:jc w:val="center"/>
              <w:rPr>
                <w:rFonts w:hint="default" w:ascii="宋体" w:hAnsi="Times New Roman" w:eastAsia="宋体" w:cs="Times New Roman"/>
                <w:b w:val="0"/>
                <w:bCs w:val="0"/>
                <w:color w:val="000000"/>
                <w:sz w:val="21"/>
                <w:szCs w:val="21"/>
                <w:lang w:val="en-US" w:eastAsia="zh-CN" w:bidi="ar-SA"/>
              </w:rPr>
            </w:pPr>
          </w:p>
        </w:tc>
        <w:tc>
          <w:tcPr>
            <w:tcW w:w="1343" w:type="dxa"/>
            <w:shd w:val="clear" w:color="auto" w:fill="auto"/>
            <w:noWrap w:val="0"/>
            <w:vAlign w:val="center"/>
          </w:tcPr>
          <w:p w14:paraId="3F4FA338">
            <w:pPr>
              <w:keepNext w:val="0"/>
              <w:keepLines w:val="0"/>
              <w:widowControl/>
              <w:suppressLineNumbers w:val="0"/>
              <w:jc w:val="center"/>
              <w:textAlignment w:val="center"/>
              <w:rPr>
                <w:rFonts w:hint="default" w:ascii="宋体" w:hAnsi="Times New Roman" w:eastAsia="宋体" w:cs="Times New Roman"/>
                <w:b w:val="0"/>
                <w:bCs w:val="0"/>
                <w:color w:val="000000"/>
                <w:sz w:val="21"/>
                <w:szCs w:val="21"/>
                <w:lang w:val="en-US" w:eastAsia="zh-CN" w:bidi="ar-SA"/>
              </w:rPr>
            </w:pPr>
            <w:r>
              <w:rPr>
                <w:rFonts w:hint="default" w:ascii="Times New Roman" w:hAnsi="Times New Roman" w:eastAsia="宋体" w:cs="Times New Roman"/>
                <w:i w:val="0"/>
                <w:iCs w:val="0"/>
                <w:color w:val="000000"/>
                <w:kern w:val="0"/>
                <w:sz w:val="24"/>
                <w:szCs w:val="24"/>
                <w:u w:val="none"/>
                <w:lang w:val="en-US" w:eastAsia="zh-CN" w:bidi="ar"/>
              </w:rPr>
              <w:t>6</w:t>
            </w:r>
          </w:p>
        </w:tc>
        <w:tc>
          <w:tcPr>
            <w:tcW w:w="449" w:type="pct"/>
            <w:shd w:val="clear" w:color="auto" w:fill="auto"/>
            <w:noWrap w:val="0"/>
            <w:vAlign w:val="center"/>
          </w:tcPr>
          <w:p w14:paraId="70A5EAE4">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宋体" w:hAnsi="Times New Roman" w:eastAsia="宋体" w:cs="Times New Roman"/>
                <w:b w:val="0"/>
                <w:bCs w:val="0"/>
                <w:color w:val="000000"/>
                <w:sz w:val="21"/>
                <w:szCs w:val="21"/>
                <w:lang w:val="en-US" w:eastAsia="zh-CN" w:bidi="ar-SA"/>
              </w:rPr>
            </w:pPr>
          </w:p>
        </w:tc>
      </w:tr>
    </w:tbl>
    <w:p w14:paraId="036B89B2">
      <w:pPr>
        <w:keepNext w:val="0"/>
        <w:keepLines w:val="0"/>
        <w:pageBreakBefore w:val="0"/>
        <w:widowControl/>
        <w:numPr>
          <w:ilvl w:val="0"/>
          <w:numId w:val="0"/>
        </w:numPr>
        <w:kinsoku/>
        <w:wordWrap/>
        <w:overflowPunct/>
        <w:topLinePunct w:val="0"/>
        <w:autoSpaceDE/>
        <w:autoSpaceDN/>
        <w:bidi w:val="0"/>
        <w:adjustRightInd/>
        <w:snapToGrid/>
        <w:spacing w:line="360" w:lineRule="auto"/>
        <w:textAlignment w:val="auto"/>
        <w:rPr>
          <w:rFonts w:hint="default" w:ascii="宋体"/>
          <w:b w:val="0"/>
          <w:bCs w:val="0"/>
          <w:color w:val="000000"/>
          <w:sz w:val="21"/>
          <w:szCs w:val="21"/>
          <w:lang w:val="en-US" w:eastAsia="zh-CN"/>
        </w:rPr>
      </w:pPr>
    </w:p>
    <w:bookmarkEnd w:id="61"/>
    <w:bookmarkEnd w:id="62"/>
    <w:bookmarkEnd w:id="63"/>
    <w:bookmarkEnd w:id="64"/>
    <w:bookmarkEnd w:id="65"/>
    <w:p w14:paraId="226A1272">
      <w:pPr>
        <w:keepNext w:val="0"/>
        <w:keepLines w:val="0"/>
        <w:pageBreakBefore w:val="0"/>
        <w:widowControl/>
        <w:numPr>
          <w:ilvl w:val="0"/>
          <w:numId w:val="0"/>
        </w:numPr>
        <w:kinsoku/>
        <w:wordWrap/>
        <w:overflowPunct/>
        <w:topLinePunct w:val="0"/>
        <w:autoSpaceDE/>
        <w:autoSpaceDN/>
        <w:bidi w:val="0"/>
        <w:adjustRightInd/>
        <w:snapToGrid/>
        <w:spacing w:line="360" w:lineRule="auto"/>
        <w:textAlignment w:val="auto"/>
        <w:rPr>
          <w:rFonts w:hint="default" w:ascii="宋体"/>
          <w:b/>
          <w:bCs/>
          <w:color w:val="000000"/>
          <w:sz w:val="21"/>
          <w:szCs w:val="21"/>
          <w:lang w:val="en-US" w:eastAsia="zh-CN"/>
        </w:rPr>
      </w:pPr>
      <w:bookmarkStart w:id="66" w:name="_Toc23876"/>
      <w:bookmarkStart w:id="67" w:name="_Toc19750"/>
      <w:bookmarkStart w:id="68" w:name="_Toc13688"/>
      <w:bookmarkStart w:id="69" w:name="_Toc21075"/>
      <w:bookmarkStart w:id="70" w:name="_Toc4155"/>
      <w:bookmarkStart w:id="71" w:name="_Toc1935"/>
      <w:bookmarkStart w:id="72" w:name="_Toc914"/>
      <w:bookmarkStart w:id="73" w:name="_Toc32142"/>
      <w:bookmarkStart w:id="74" w:name="_Toc20810"/>
      <w:bookmarkStart w:id="75" w:name="_Toc1702"/>
      <w:r>
        <w:rPr>
          <w:rFonts w:hint="default" w:ascii="宋体"/>
          <w:b/>
          <w:bCs/>
          <w:color w:val="000000"/>
          <w:sz w:val="21"/>
          <w:szCs w:val="21"/>
          <w:lang w:val="en-US" w:eastAsia="zh-CN"/>
        </w:rPr>
        <w:t>四</w:t>
      </w:r>
      <w:bookmarkEnd w:id="66"/>
      <w:r>
        <w:rPr>
          <w:rFonts w:hint="eastAsia" w:ascii="宋体"/>
          <w:b/>
          <w:bCs/>
          <w:color w:val="000000"/>
          <w:sz w:val="21"/>
          <w:szCs w:val="21"/>
          <w:lang w:val="en-US" w:eastAsia="zh-CN"/>
        </w:rPr>
        <w:t>、</w:t>
      </w:r>
      <w:r>
        <w:rPr>
          <w:rFonts w:hint="default" w:ascii="宋体"/>
          <w:b/>
          <w:bCs/>
          <w:color w:val="000000"/>
          <w:sz w:val="21"/>
          <w:szCs w:val="21"/>
          <w:lang w:val="en-US" w:eastAsia="zh-CN"/>
        </w:rPr>
        <w:t>作业地分布与现状</w:t>
      </w:r>
      <w:bookmarkEnd w:id="67"/>
      <w:bookmarkEnd w:id="68"/>
      <w:bookmarkEnd w:id="69"/>
      <w:bookmarkEnd w:id="70"/>
      <w:bookmarkEnd w:id="71"/>
      <w:bookmarkEnd w:id="72"/>
      <w:bookmarkEnd w:id="73"/>
      <w:bookmarkEnd w:id="74"/>
      <w:bookmarkEnd w:id="75"/>
    </w:p>
    <w:p w14:paraId="4E903C86">
      <w:pPr>
        <w:keepNext w:val="0"/>
        <w:keepLines w:val="0"/>
        <w:pageBreakBefore w:val="0"/>
        <w:widowControl/>
        <w:numPr>
          <w:ilvl w:val="0"/>
          <w:numId w:val="0"/>
        </w:numPr>
        <w:kinsoku/>
        <w:wordWrap/>
        <w:overflowPunct/>
        <w:topLinePunct w:val="0"/>
        <w:autoSpaceDE/>
        <w:autoSpaceDN/>
        <w:bidi w:val="0"/>
        <w:adjustRightInd/>
        <w:snapToGrid/>
        <w:spacing w:line="360" w:lineRule="auto"/>
        <w:textAlignment w:val="auto"/>
        <w:rPr>
          <w:rFonts w:hint="default" w:ascii="宋体"/>
          <w:b w:val="0"/>
          <w:bCs w:val="0"/>
          <w:color w:val="000000"/>
          <w:sz w:val="21"/>
          <w:szCs w:val="21"/>
          <w:lang w:val="en-US" w:eastAsia="zh-CN"/>
        </w:rPr>
      </w:pPr>
      <w:bookmarkStart w:id="76" w:name="_Toc32665"/>
      <w:bookmarkStart w:id="77" w:name="_Toc6005"/>
      <w:bookmarkStart w:id="78" w:name="_Toc17520"/>
      <w:bookmarkStart w:id="79" w:name="_Toc7551"/>
      <w:bookmarkStart w:id="80" w:name="_Toc27357"/>
      <w:bookmarkStart w:id="81" w:name="_Toc19295"/>
      <w:bookmarkStart w:id="82" w:name="_Toc28646"/>
      <w:bookmarkStart w:id="83" w:name="_Toc32274"/>
      <w:bookmarkStart w:id="84" w:name="_Toc19172"/>
      <w:bookmarkStart w:id="85" w:name="_Toc21514"/>
      <w:r>
        <w:rPr>
          <w:rFonts w:hint="eastAsia" w:ascii="宋体"/>
          <w:b w:val="0"/>
          <w:bCs w:val="0"/>
          <w:color w:val="000000"/>
          <w:sz w:val="21"/>
          <w:szCs w:val="21"/>
          <w:lang w:val="en-US" w:eastAsia="zh-CN"/>
        </w:rPr>
        <w:t>1</w:t>
      </w:r>
      <w:r>
        <w:rPr>
          <w:rFonts w:hint="default" w:ascii="宋体"/>
          <w:b w:val="0"/>
          <w:bCs w:val="0"/>
          <w:color w:val="000000"/>
          <w:sz w:val="21"/>
          <w:szCs w:val="21"/>
          <w:lang w:val="en-US" w:eastAsia="zh-CN"/>
        </w:rPr>
        <w:t>、作业地分布</w:t>
      </w:r>
      <w:bookmarkEnd w:id="76"/>
      <w:bookmarkEnd w:id="77"/>
      <w:bookmarkEnd w:id="78"/>
      <w:bookmarkEnd w:id="79"/>
      <w:bookmarkEnd w:id="80"/>
      <w:bookmarkEnd w:id="81"/>
      <w:bookmarkEnd w:id="82"/>
      <w:bookmarkEnd w:id="83"/>
      <w:bookmarkEnd w:id="84"/>
    </w:p>
    <w:p w14:paraId="4337D8A6">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b w:val="0"/>
          <w:bCs w:val="0"/>
          <w:color w:val="000000"/>
          <w:sz w:val="21"/>
          <w:szCs w:val="21"/>
          <w:lang w:val="en-US" w:eastAsia="zh-CN"/>
        </w:rPr>
      </w:pPr>
      <w:r>
        <w:rPr>
          <w:rFonts w:hint="eastAsia" w:ascii="宋体"/>
          <w:b w:val="0"/>
          <w:bCs w:val="0"/>
          <w:color w:val="000000"/>
          <w:sz w:val="21"/>
          <w:szCs w:val="21"/>
          <w:lang w:val="en-US" w:eastAsia="zh-CN"/>
        </w:rPr>
        <w:t>湛江经济技术开发区2026年森林质量精准提升（新造林抚育）项目</w:t>
      </w:r>
      <w:r>
        <w:rPr>
          <w:rFonts w:hint="default" w:ascii="宋体"/>
          <w:b w:val="0"/>
          <w:bCs w:val="0"/>
          <w:color w:val="000000"/>
          <w:sz w:val="21"/>
          <w:szCs w:val="21"/>
          <w:lang w:val="en-US" w:eastAsia="zh-CN"/>
        </w:rPr>
        <w:t>作业地点分布在湛江经开区东简街道，涉及</w:t>
      </w:r>
      <w:r>
        <w:rPr>
          <w:rFonts w:hint="eastAsia" w:ascii="宋体"/>
          <w:b w:val="0"/>
          <w:bCs w:val="0"/>
          <w:color w:val="000000"/>
          <w:sz w:val="21"/>
          <w:szCs w:val="21"/>
          <w:lang w:val="en-US" w:eastAsia="zh-CN"/>
        </w:rPr>
        <w:t>3</w:t>
      </w:r>
      <w:r>
        <w:rPr>
          <w:rFonts w:hint="default" w:ascii="宋体"/>
          <w:b w:val="0"/>
          <w:bCs w:val="0"/>
          <w:color w:val="000000"/>
          <w:sz w:val="21"/>
          <w:szCs w:val="21"/>
          <w:lang w:val="en-US" w:eastAsia="zh-CN"/>
        </w:rPr>
        <w:t>个行政村，共计</w:t>
      </w:r>
      <w:r>
        <w:rPr>
          <w:rFonts w:hint="eastAsia" w:ascii="宋体"/>
          <w:b w:val="0"/>
          <w:bCs w:val="0"/>
          <w:color w:val="000000"/>
          <w:sz w:val="21"/>
          <w:szCs w:val="21"/>
          <w:lang w:val="en-US" w:eastAsia="zh-CN"/>
        </w:rPr>
        <w:t>6</w:t>
      </w:r>
      <w:r>
        <w:rPr>
          <w:rFonts w:hint="default" w:ascii="宋体"/>
          <w:b w:val="0"/>
          <w:bCs w:val="0"/>
          <w:color w:val="000000"/>
          <w:sz w:val="21"/>
          <w:szCs w:val="21"/>
          <w:lang w:val="en-US" w:eastAsia="zh-CN"/>
        </w:rPr>
        <w:t>个作业小班。本项目新造林抚育对象为湛江经开区202</w:t>
      </w:r>
      <w:r>
        <w:rPr>
          <w:rFonts w:hint="eastAsia" w:ascii="宋体"/>
          <w:b w:val="0"/>
          <w:bCs w:val="0"/>
          <w:color w:val="000000"/>
          <w:sz w:val="21"/>
          <w:szCs w:val="21"/>
          <w:lang w:val="en-US" w:eastAsia="zh-CN"/>
        </w:rPr>
        <w:t>4</w:t>
      </w:r>
      <w:r>
        <w:rPr>
          <w:rFonts w:hint="default" w:ascii="宋体"/>
          <w:b w:val="0"/>
          <w:bCs w:val="0"/>
          <w:color w:val="000000"/>
          <w:sz w:val="21"/>
          <w:szCs w:val="21"/>
          <w:lang w:val="en-US" w:eastAsia="zh-CN"/>
        </w:rPr>
        <w:t>年</w:t>
      </w:r>
      <w:r>
        <w:rPr>
          <w:rFonts w:hint="eastAsia" w:ascii="宋体"/>
          <w:b w:val="0"/>
          <w:bCs w:val="0"/>
          <w:color w:val="000000"/>
          <w:sz w:val="21"/>
          <w:szCs w:val="21"/>
          <w:lang w:val="en-US" w:eastAsia="zh-CN"/>
        </w:rPr>
        <w:t>-</w:t>
      </w:r>
      <w:r>
        <w:rPr>
          <w:rFonts w:hint="default" w:ascii="宋体"/>
          <w:b w:val="0"/>
          <w:bCs w:val="0"/>
          <w:color w:val="000000"/>
          <w:sz w:val="21"/>
          <w:szCs w:val="21"/>
          <w:lang w:val="en-US" w:eastAsia="zh-CN"/>
        </w:rPr>
        <w:t>202</w:t>
      </w:r>
      <w:r>
        <w:rPr>
          <w:rFonts w:hint="eastAsia" w:ascii="宋体"/>
          <w:b w:val="0"/>
          <w:bCs w:val="0"/>
          <w:color w:val="000000"/>
          <w:sz w:val="21"/>
          <w:szCs w:val="21"/>
          <w:lang w:val="en-US" w:eastAsia="zh-CN"/>
        </w:rPr>
        <w:t>5</w:t>
      </w:r>
      <w:r>
        <w:rPr>
          <w:rFonts w:hint="default" w:ascii="宋体"/>
          <w:b w:val="0"/>
          <w:bCs w:val="0"/>
          <w:color w:val="000000"/>
          <w:sz w:val="21"/>
          <w:szCs w:val="21"/>
          <w:lang w:val="en-US" w:eastAsia="zh-CN"/>
        </w:rPr>
        <w:t>年营建</w:t>
      </w:r>
      <w:r>
        <w:rPr>
          <w:rFonts w:hint="eastAsia" w:ascii="宋体"/>
          <w:b w:val="0"/>
          <w:bCs w:val="0"/>
          <w:color w:val="000000"/>
          <w:sz w:val="21"/>
          <w:szCs w:val="21"/>
          <w:lang w:val="en-US" w:eastAsia="zh-CN"/>
        </w:rPr>
        <w:t>的</w:t>
      </w:r>
      <w:r>
        <w:rPr>
          <w:rFonts w:hint="default" w:ascii="宋体"/>
          <w:b w:val="0"/>
          <w:bCs w:val="0"/>
          <w:color w:val="000000"/>
          <w:sz w:val="21"/>
          <w:szCs w:val="21"/>
          <w:lang w:val="en-US" w:eastAsia="zh-CN"/>
        </w:rPr>
        <w:t>沿海防护林</w:t>
      </w:r>
      <w:r>
        <w:rPr>
          <w:rFonts w:hint="eastAsia" w:ascii="宋体"/>
          <w:b w:val="0"/>
          <w:bCs w:val="0"/>
          <w:color w:val="000000"/>
          <w:sz w:val="21"/>
          <w:szCs w:val="21"/>
          <w:lang w:val="en-US" w:eastAsia="zh-CN"/>
        </w:rPr>
        <w:t>和</w:t>
      </w:r>
      <w:r>
        <w:rPr>
          <w:rFonts w:hint="default" w:ascii="宋体"/>
          <w:b w:val="0"/>
          <w:bCs w:val="0"/>
          <w:color w:val="000000"/>
          <w:sz w:val="21"/>
          <w:szCs w:val="21"/>
          <w:lang w:val="en-US" w:eastAsia="zh-CN"/>
        </w:rPr>
        <w:t>水土保持林，面积相对集中连片，区位优势明显。该项目建成后，能较好地改善林相。</w:t>
      </w:r>
    </w:p>
    <w:p w14:paraId="459E0C80">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b w:val="0"/>
          <w:bCs w:val="0"/>
          <w:color w:val="000000"/>
          <w:sz w:val="21"/>
          <w:szCs w:val="21"/>
          <w:lang w:val="en-US" w:eastAsia="zh-CN"/>
        </w:rPr>
        <w:sectPr>
          <w:footerReference r:id="rId4" w:type="default"/>
          <w:pgSz w:w="11906" w:h="16838"/>
          <w:pgMar w:top="1304" w:right="1191" w:bottom="1304" w:left="1191" w:header="397" w:footer="851" w:gutter="0"/>
          <w:pgNumType w:fmt="decimal" w:start="1"/>
          <w:cols w:space="720" w:num="1"/>
          <w:docGrid w:type="lines" w:linePitch="312" w:charSpace="0"/>
        </w:sectPr>
      </w:pPr>
      <w:r>
        <w:rPr>
          <w:rFonts w:hint="default" w:ascii="宋体"/>
          <w:b w:val="0"/>
          <w:bCs w:val="0"/>
          <w:color w:val="000000"/>
          <w:sz w:val="21"/>
          <w:szCs w:val="21"/>
          <w:lang w:val="en-US" w:eastAsia="zh-CN"/>
        </w:rPr>
        <w:t>经现场调查规划，</w:t>
      </w:r>
      <w:r>
        <w:rPr>
          <w:rFonts w:hint="eastAsia" w:ascii="宋体"/>
          <w:b w:val="0"/>
          <w:bCs w:val="0"/>
          <w:color w:val="000000"/>
          <w:sz w:val="21"/>
          <w:szCs w:val="21"/>
          <w:lang w:val="en-US" w:eastAsia="zh-CN"/>
        </w:rPr>
        <w:t>湛江经济技术开发区2026年森林质量精准提升（新造林抚育）项目</w:t>
      </w:r>
      <w:r>
        <w:rPr>
          <w:rFonts w:hint="default" w:ascii="宋体"/>
          <w:b w:val="0"/>
          <w:bCs w:val="0"/>
          <w:color w:val="000000"/>
          <w:sz w:val="21"/>
          <w:szCs w:val="21"/>
          <w:lang w:val="en-US" w:eastAsia="zh-CN"/>
        </w:rPr>
        <w:t>规划建设面积</w:t>
      </w:r>
      <w:r>
        <w:rPr>
          <w:rFonts w:hint="eastAsia" w:ascii="宋体"/>
          <w:b w:val="0"/>
          <w:bCs w:val="0"/>
          <w:color w:val="000000"/>
          <w:sz w:val="21"/>
          <w:szCs w:val="21"/>
          <w:lang w:val="en-US" w:eastAsia="zh-CN"/>
        </w:rPr>
        <w:t>32</w:t>
      </w:r>
      <w:r>
        <w:rPr>
          <w:rFonts w:hint="default" w:ascii="宋体"/>
          <w:b w:val="0"/>
          <w:bCs w:val="0"/>
          <w:color w:val="000000"/>
          <w:sz w:val="21"/>
          <w:szCs w:val="21"/>
          <w:lang w:val="en-US" w:eastAsia="zh-CN"/>
        </w:rPr>
        <w:t>0亩。具体分布情况详见下表</w:t>
      </w:r>
      <w:r>
        <w:rPr>
          <w:rFonts w:hint="eastAsia" w:ascii="宋体"/>
          <w:b w:val="0"/>
          <w:bCs w:val="0"/>
          <w:color w:val="000000"/>
          <w:sz w:val="21"/>
          <w:szCs w:val="21"/>
          <w:lang w:val="en-US" w:eastAsia="zh-CN"/>
        </w:rPr>
        <w:t>4-1</w:t>
      </w:r>
    </w:p>
    <w:p w14:paraId="0ED984AE">
      <w:pPr>
        <w:keepNext w:val="0"/>
        <w:keepLines w:val="0"/>
        <w:pageBreakBefore w:val="0"/>
        <w:widowControl/>
        <w:numPr>
          <w:ilvl w:val="0"/>
          <w:numId w:val="0"/>
        </w:numPr>
        <w:kinsoku/>
        <w:wordWrap/>
        <w:overflowPunct/>
        <w:topLinePunct w:val="0"/>
        <w:autoSpaceDE/>
        <w:autoSpaceDN/>
        <w:bidi w:val="0"/>
        <w:adjustRightInd/>
        <w:snapToGrid/>
        <w:spacing w:line="360" w:lineRule="auto"/>
        <w:textAlignment w:val="auto"/>
        <w:rPr>
          <w:rFonts w:hint="default" w:ascii="宋体"/>
          <w:b w:val="0"/>
          <w:bCs w:val="0"/>
          <w:color w:val="000000"/>
          <w:sz w:val="21"/>
          <w:szCs w:val="21"/>
          <w:lang w:val="en-US" w:eastAsia="zh-CN"/>
        </w:rPr>
      </w:pPr>
      <w:r>
        <w:rPr>
          <w:rFonts w:hint="default" w:ascii="宋体"/>
          <w:b w:val="0"/>
          <w:bCs w:val="0"/>
          <w:color w:val="000000"/>
          <w:sz w:val="21"/>
          <w:szCs w:val="21"/>
          <w:lang w:val="en-US" w:eastAsia="zh-CN"/>
        </w:rPr>
        <w:t>表4-1   作业地分布情况表</w:t>
      </w:r>
    </w:p>
    <w:tbl>
      <w:tblPr>
        <w:tblStyle w:val="4"/>
        <w:tblW w:w="5000" w:type="pct"/>
        <w:tblInd w:w="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01"/>
        <w:gridCol w:w="1422"/>
        <w:gridCol w:w="1983"/>
        <w:gridCol w:w="1986"/>
        <w:gridCol w:w="1630"/>
      </w:tblGrid>
      <w:tr w14:paraId="33E45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blHeader/>
        </w:trPr>
        <w:tc>
          <w:tcPr>
            <w:tcW w:w="1500" w:type="dxa"/>
            <w:tcBorders>
              <w:tl2br w:val="nil"/>
              <w:tr2bl w:val="nil"/>
            </w:tcBorders>
            <w:shd w:val="clear" w:color="auto" w:fill="BEBEBE"/>
            <w:noWrap/>
            <w:vAlign w:val="center"/>
          </w:tcPr>
          <w:p w14:paraId="731AE70F">
            <w:pPr>
              <w:keepNext w:val="0"/>
              <w:keepLines w:val="0"/>
              <w:widowControl/>
              <w:suppressLineNumbers w:val="0"/>
              <w:jc w:val="center"/>
              <w:textAlignment w:val="center"/>
              <w:rPr>
                <w:rFonts w:hint="default" w:ascii="Times New Roman" w:hAnsi="Times New Roman" w:eastAsia="仿宋" w:cs="Times New Roman"/>
                <w:b/>
                <w:bCs/>
                <w:i w:val="0"/>
                <w:iCs w:val="0"/>
                <w:color w:val="auto"/>
                <w:kern w:val="0"/>
                <w:sz w:val="24"/>
                <w:szCs w:val="24"/>
                <w:highlight w:val="none"/>
                <w:u w:val="none"/>
                <w:lang w:bidi="ar"/>
              </w:rPr>
            </w:pPr>
            <w:r>
              <w:rPr>
                <w:rFonts w:hint="eastAsia" w:ascii="仿宋" w:hAnsi="仿宋" w:eastAsia="仿宋" w:cs="仿宋"/>
                <w:b/>
                <w:bCs/>
                <w:i w:val="0"/>
                <w:iCs w:val="0"/>
                <w:color w:val="000000"/>
                <w:kern w:val="0"/>
                <w:sz w:val="24"/>
                <w:szCs w:val="24"/>
                <w:highlight w:val="none"/>
                <w:u w:val="none"/>
                <w:lang w:val="en-US" w:eastAsia="zh-CN" w:bidi="ar"/>
              </w:rPr>
              <w:t>作业类型</w:t>
            </w:r>
          </w:p>
        </w:tc>
        <w:tc>
          <w:tcPr>
            <w:tcW w:w="1421" w:type="dxa"/>
            <w:tcBorders>
              <w:tl2br w:val="nil"/>
              <w:tr2bl w:val="nil"/>
            </w:tcBorders>
            <w:shd w:val="clear" w:color="auto" w:fill="BEBEBE"/>
            <w:noWrap/>
            <w:vAlign w:val="center"/>
          </w:tcPr>
          <w:p w14:paraId="255DB8FD">
            <w:pPr>
              <w:keepNext w:val="0"/>
              <w:keepLines w:val="0"/>
              <w:widowControl/>
              <w:suppressLineNumbers w:val="0"/>
              <w:jc w:val="center"/>
              <w:textAlignment w:val="center"/>
              <w:rPr>
                <w:rFonts w:hint="default" w:ascii="Times New Roman" w:hAnsi="Times New Roman" w:eastAsia="仿宋" w:cs="Times New Roman"/>
                <w:b/>
                <w:bCs/>
                <w:i w:val="0"/>
                <w:iCs w:val="0"/>
                <w:color w:val="auto"/>
                <w:kern w:val="0"/>
                <w:sz w:val="24"/>
                <w:szCs w:val="24"/>
                <w:highlight w:val="none"/>
                <w:u w:val="none"/>
                <w:lang w:bidi="ar"/>
              </w:rPr>
            </w:pPr>
            <w:r>
              <w:rPr>
                <w:rFonts w:hint="eastAsia" w:ascii="仿宋" w:hAnsi="仿宋" w:eastAsia="仿宋" w:cs="仿宋"/>
                <w:b/>
                <w:bCs/>
                <w:i w:val="0"/>
                <w:iCs w:val="0"/>
                <w:color w:val="000000"/>
                <w:kern w:val="0"/>
                <w:sz w:val="24"/>
                <w:szCs w:val="24"/>
                <w:highlight w:val="none"/>
                <w:u w:val="none"/>
                <w:lang w:val="en-US" w:eastAsia="zh-CN" w:bidi="ar"/>
              </w:rPr>
              <w:t>作业小班</w:t>
            </w:r>
          </w:p>
        </w:tc>
        <w:tc>
          <w:tcPr>
            <w:tcW w:w="1982" w:type="dxa"/>
            <w:tcBorders>
              <w:tl2br w:val="nil"/>
              <w:tr2bl w:val="nil"/>
            </w:tcBorders>
            <w:shd w:val="clear" w:color="auto" w:fill="BEBEBE"/>
            <w:noWrap/>
            <w:vAlign w:val="center"/>
          </w:tcPr>
          <w:p w14:paraId="25EC704A">
            <w:pPr>
              <w:keepNext w:val="0"/>
              <w:keepLines w:val="0"/>
              <w:widowControl/>
              <w:suppressLineNumbers w:val="0"/>
              <w:jc w:val="center"/>
              <w:textAlignment w:val="center"/>
              <w:rPr>
                <w:rFonts w:hint="default" w:ascii="Times New Roman" w:hAnsi="Times New Roman" w:eastAsia="仿宋" w:cs="Times New Roman"/>
                <w:b/>
                <w:bCs/>
                <w:i w:val="0"/>
                <w:iCs w:val="0"/>
                <w:color w:val="auto"/>
                <w:kern w:val="0"/>
                <w:sz w:val="24"/>
                <w:szCs w:val="24"/>
                <w:highlight w:val="none"/>
                <w:u w:val="none"/>
                <w:lang w:bidi="ar"/>
              </w:rPr>
            </w:pPr>
            <w:r>
              <w:rPr>
                <w:rFonts w:hint="eastAsia" w:ascii="仿宋" w:hAnsi="仿宋" w:eastAsia="仿宋" w:cs="仿宋"/>
                <w:b/>
                <w:bCs/>
                <w:i w:val="0"/>
                <w:iCs w:val="0"/>
                <w:color w:val="000000"/>
                <w:kern w:val="0"/>
                <w:sz w:val="24"/>
                <w:szCs w:val="24"/>
                <w:highlight w:val="none"/>
                <w:u w:val="none"/>
                <w:lang w:val="en-US" w:eastAsia="zh-CN" w:bidi="ar"/>
              </w:rPr>
              <w:t>街道</w:t>
            </w:r>
          </w:p>
        </w:tc>
        <w:tc>
          <w:tcPr>
            <w:tcW w:w="1985" w:type="dxa"/>
            <w:tcBorders>
              <w:tl2br w:val="nil"/>
              <w:tr2bl w:val="nil"/>
            </w:tcBorders>
            <w:shd w:val="clear" w:color="auto" w:fill="BEBEBE"/>
            <w:noWrap/>
            <w:vAlign w:val="center"/>
          </w:tcPr>
          <w:p w14:paraId="1EDDA587">
            <w:pPr>
              <w:keepNext w:val="0"/>
              <w:keepLines w:val="0"/>
              <w:widowControl/>
              <w:suppressLineNumbers w:val="0"/>
              <w:jc w:val="center"/>
              <w:textAlignment w:val="center"/>
              <w:rPr>
                <w:rFonts w:hint="default" w:ascii="Times New Roman" w:hAnsi="Times New Roman" w:eastAsia="仿宋" w:cs="Times New Roman"/>
                <w:b/>
                <w:bCs/>
                <w:i w:val="0"/>
                <w:iCs w:val="0"/>
                <w:color w:val="auto"/>
                <w:kern w:val="0"/>
                <w:sz w:val="24"/>
                <w:szCs w:val="24"/>
                <w:highlight w:val="none"/>
                <w:u w:val="none"/>
                <w:lang w:bidi="ar"/>
              </w:rPr>
            </w:pPr>
            <w:r>
              <w:rPr>
                <w:rFonts w:hint="eastAsia" w:ascii="仿宋" w:hAnsi="仿宋" w:eastAsia="仿宋" w:cs="仿宋"/>
                <w:b/>
                <w:bCs/>
                <w:i w:val="0"/>
                <w:iCs w:val="0"/>
                <w:color w:val="000000"/>
                <w:kern w:val="0"/>
                <w:sz w:val="24"/>
                <w:szCs w:val="24"/>
                <w:highlight w:val="none"/>
                <w:u w:val="none"/>
                <w:lang w:val="en-US" w:eastAsia="zh-CN" w:bidi="ar"/>
              </w:rPr>
              <w:t>村</w:t>
            </w:r>
          </w:p>
        </w:tc>
        <w:tc>
          <w:tcPr>
            <w:tcW w:w="1629" w:type="dxa"/>
            <w:tcBorders>
              <w:tl2br w:val="nil"/>
              <w:tr2bl w:val="nil"/>
            </w:tcBorders>
            <w:shd w:val="clear" w:color="auto" w:fill="BEBEBE"/>
            <w:noWrap/>
            <w:vAlign w:val="center"/>
          </w:tcPr>
          <w:p w14:paraId="30C5E394">
            <w:pPr>
              <w:keepNext w:val="0"/>
              <w:keepLines w:val="0"/>
              <w:widowControl/>
              <w:suppressLineNumbers w:val="0"/>
              <w:jc w:val="center"/>
              <w:textAlignment w:val="center"/>
              <w:rPr>
                <w:rFonts w:hint="default" w:ascii="Times New Roman" w:hAnsi="Times New Roman" w:eastAsia="仿宋" w:cs="Times New Roman"/>
                <w:b/>
                <w:bCs/>
                <w:i w:val="0"/>
                <w:iCs w:val="0"/>
                <w:color w:val="auto"/>
                <w:kern w:val="0"/>
                <w:sz w:val="24"/>
                <w:szCs w:val="24"/>
                <w:highlight w:val="none"/>
                <w:u w:val="none"/>
                <w:lang w:bidi="ar"/>
              </w:rPr>
            </w:pPr>
            <w:r>
              <w:rPr>
                <w:rFonts w:hint="eastAsia" w:ascii="仿宋" w:hAnsi="仿宋" w:eastAsia="仿宋" w:cs="仿宋"/>
                <w:b/>
                <w:bCs/>
                <w:i w:val="0"/>
                <w:iCs w:val="0"/>
                <w:color w:val="000000"/>
                <w:kern w:val="0"/>
                <w:sz w:val="24"/>
                <w:szCs w:val="24"/>
                <w:highlight w:val="none"/>
                <w:u w:val="none"/>
                <w:lang w:val="en-US" w:eastAsia="zh-CN" w:bidi="ar"/>
              </w:rPr>
              <w:t>面积（亩）</w:t>
            </w:r>
          </w:p>
        </w:tc>
      </w:tr>
      <w:tr w14:paraId="06161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00" w:type="dxa"/>
            <w:tcBorders>
              <w:bottom w:val="single" w:color="auto" w:sz="4" w:space="0"/>
              <w:tl2br w:val="nil"/>
              <w:tr2bl w:val="nil"/>
            </w:tcBorders>
            <w:noWrap/>
            <w:vAlign w:val="center"/>
          </w:tcPr>
          <w:p w14:paraId="04C4C86C">
            <w:pPr>
              <w:keepNext w:val="0"/>
              <w:keepLines w:val="0"/>
              <w:widowControl/>
              <w:suppressLineNumbers w:val="0"/>
              <w:jc w:val="center"/>
              <w:textAlignment w:val="center"/>
              <w:rPr>
                <w:rFonts w:hint="default" w:ascii="Times New Roman" w:hAnsi="Times New Roman" w:eastAsia="仿宋" w:cs="Times New Roman"/>
                <w:b/>
                <w:bCs/>
                <w:i w:val="0"/>
                <w:iCs w:val="0"/>
                <w:color w:val="auto"/>
                <w:kern w:val="0"/>
                <w:sz w:val="24"/>
                <w:szCs w:val="24"/>
                <w:u w:val="none"/>
                <w:lang w:val="en-US" w:eastAsia="zh-CN" w:bidi="ar"/>
              </w:rPr>
            </w:pPr>
            <w:r>
              <w:rPr>
                <w:rFonts w:hint="eastAsia" w:ascii="仿宋" w:hAnsi="仿宋" w:eastAsia="仿宋" w:cs="仿宋"/>
                <w:b/>
                <w:bCs/>
                <w:i w:val="0"/>
                <w:iCs w:val="0"/>
                <w:color w:val="000000"/>
                <w:kern w:val="0"/>
                <w:sz w:val="24"/>
                <w:szCs w:val="24"/>
                <w:u w:val="none"/>
                <w:lang w:val="en-US" w:eastAsia="zh-CN" w:bidi="ar"/>
              </w:rPr>
              <w:t>合计</w:t>
            </w:r>
          </w:p>
        </w:tc>
        <w:tc>
          <w:tcPr>
            <w:tcW w:w="1421" w:type="dxa"/>
            <w:tcBorders>
              <w:bottom w:val="single" w:color="auto" w:sz="4" w:space="0"/>
              <w:tl2br w:val="nil"/>
              <w:tr2bl w:val="nil"/>
            </w:tcBorders>
            <w:noWrap/>
            <w:vAlign w:val="center"/>
          </w:tcPr>
          <w:p w14:paraId="78EEDEF2">
            <w:pPr>
              <w:keepNext w:val="0"/>
              <w:keepLines w:val="0"/>
              <w:widowControl/>
              <w:suppressLineNumbers w:val="0"/>
              <w:jc w:val="center"/>
              <w:textAlignment w:val="center"/>
              <w:rPr>
                <w:rFonts w:hint="default" w:ascii="Times New Roman" w:hAnsi="Times New Roman" w:eastAsia="仿宋" w:cs="Times New Roman"/>
                <w:b/>
                <w:bCs/>
                <w:i w:val="0"/>
                <w:iCs w:val="0"/>
                <w:color w:val="auto"/>
                <w:kern w:val="0"/>
                <w:sz w:val="24"/>
                <w:szCs w:val="24"/>
                <w:u w:val="none"/>
                <w:lang w:val="en-US" w:eastAsia="zh-CN" w:bidi="ar"/>
              </w:rPr>
            </w:pPr>
            <w:r>
              <w:rPr>
                <w:rFonts w:hint="default" w:ascii="Times New Roman" w:hAnsi="Times New Roman" w:eastAsia="宋体" w:cs="Times New Roman"/>
                <w:b/>
                <w:bCs/>
                <w:i w:val="0"/>
                <w:iCs w:val="0"/>
                <w:color w:val="000000"/>
                <w:kern w:val="0"/>
                <w:sz w:val="24"/>
                <w:szCs w:val="24"/>
                <w:u w:val="none"/>
                <w:lang w:val="en-US" w:eastAsia="zh-CN" w:bidi="ar"/>
              </w:rPr>
              <w:t>6</w:t>
            </w:r>
            <w:r>
              <w:rPr>
                <w:rFonts w:hint="eastAsia" w:ascii="仿宋" w:hAnsi="仿宋" w:eastAsia="仿宋" w:cs="仿宋"/>
                <w:b/>
                <w:bCs/>
                <w:i w:val="0"/>
                <w:iCs w:val="0"/>
                <w:color w:val="000000"/>
                <w:kern w:val="0"/>
                <w:sz w:val="24"/>
                <w:szCs w:val="24"/>
                <w:u w:val="none"/>
                <w:lang w:val="en-US" w:eastAsia="zh-CN" w:bidi="ar"/>
              </w:rPr>
              <w:t>个</w:t>
            </w:r>
          </w:p>
        </w:tc>
        <w:tc>
          <w:tcPr>
            <w:tcW w:w="1982" w:type="dxa"/>
            <w:tcBorders>
              <w:bottom w:val="single" w:color="auto" w:sz="4" w:space="0"/>
              <w:tl2br w:val="nil"/>
              <w:tr2bl w:val="nil"/>
            </w:tcBorders>
            <w:noWrap/>
            <w:vAlign w:val="center"/>
          </w:tcPr>
          <w:p w14:paraId="69E2F522">
            <w:pPr>
              <w:keepNext w:val="0"/>
              <w:keepLines w:val="0"/>
              <w:widowControl/>
              <w:suppressLineNumbers w:val="0"/>
              <w:jc w:val="center"/>
              <w:textAlignment w:val="center"/>
              <w:rPr>
                <w:rFonts w:hint="default" w:ascii="Times New Roman" w:hAnsi="Times New Roman" w:eastAsia="仿宋" w:cs="Times New Roman"/>
                <w:b/>
                <w:bCs/>
                <w:i w:val="0"/>
                <w:iCs w:val="0"/>
                <w:color w:val="auto"/>
                <w:kern w:val="0"/>
                <w:sz w:val="24"/>
                <w:szCs w:val="24"/>
                <w:u w:val="none"/>
                <w:lang w:val="en-US" w:eastAsia="zh-CN" w:bidi="ar"/>
              </w:rPr>
            </w:pPr>
            <w:r>
              <w:rPr>
                <w:rFonts w:hint="default" w:ascii="Times New Roman" w:hAnsi="Times New Roman" w:eastAsia="宋体" w:cs="Times New Roman"/>
                <w:b/>
                <w:bCs/>
                <w:i w:val="0"/>
                <w:iCs w:val="0"/>
                <w:color w:val="000000"/>
                <w:kern w:val="0"/>
                <w:sz w:val="24"/>
                <w:szCs w:val="24"/>
                <w:u w:val="none"/>
                <w:lang w:val="en-US" w:eastAsia="zh-CN" w:bidi="ar"/>
              </w:rPr>
              <w:t>1</w:t>
            </w:r>
            <w:r>
              <w:rPr>
                <w:rFonts w:hint="eastAsia" w:ascii="仿宋" w:hAnsi="仿宋" w:eastAsia="仿宋" w:cs="仿宋"/>
                <w:b/>
                <w:bCs/>
                <w:i w:val="0"/>
                <w:iCs w:val="0"/>
                <w:color w:val="000000"/>
                <w:kern w:val="0"/>
                <w:sz w:val="24"/>
                <w:szCs w:val="24"/>
                <w:u w:val="none"/>
                <w:lang w:val="en-US" w:eastAsia="zh-CN" w:bidi="ar"/>
              </w:rPr>
              <w:t>个</w:t>
            </w:r>
          </w:p>
        </w:tc>
        <w:tc>
          <w:tcPr>
            <w:tcW w:w="1985" w:type="dxa"/>
            <w:tcBorders>
              <w:bottom w:val="single" w:color="auto" w:sz="4" w:space="0"/>
              <w:tl2br w:val="nil"/>
              <w:tr2bl w:val="nil"/>
            </w:tcBorders>
            <w:noWrap/>
            <w:vAlign w:val="center"/>
          </w:tcPr>
          <w:p w14:paraId="6DA599CD">
            <w:pPr>
              <w:keepNext w:val="0"/>
              <w:keepLines w:val="0"/>
              <w:widowControl/>
              <w:suppressLineNumbers w:val="0"/>
              <w:jc w:val="center"/>
              <w:textAlignment w:val="center"/>
              <w:rPr>
                <w:rFonts w:hint="default" w:ascii="Times New Roman" w:hAnsi="Times New Roman" w:eastAsia="仿宋" w:cs="Times New Roman"/>
                <w:b/>
                <w:bCs/>
                <w:i w:val="0"/>
                <w:iCs w:val="0"/>
                <w:color w:val="auto"/>
                <w:kern w:val="0"/>
                <w:sz w:val="24"/>
                <w:szCs w:val="24"/>
                <w:u w:val="none"/>
                <w:lang w:val="en-US" w:eastAsia="zh-CN" w:bidi="ar"/>
              </w:rPr>
            </w:pPr>
            <w:r>
              <w:rPr>
                <w:rFonts w:hint="default" w:ascii="Times New Roman" w:hAnsi="Times New Roman" w:eastAsia="宋体" w:cs="Times New Roman"/>
                <w:b/>
                <w:bCs/>
                <w:i w:val="0"/>
                <w:iCs w:val="0"/>
                <w:color w:val="000000"/>
                <w:kern w:val="0"/>
                <w:sz w:val="24"/>
                <w:szCs w:val="24"/>
                <w:u w:val="none"/>
                <w:lang w:val="en-US" w:eastAsia="zh-CN" w:bidi="ar"/>
              </w:rPr>
              <w:t>3</w:t>
            </w:r>
            <w:r>
              <w:rPr>
                <w:rFonts w:hint="eastAsia" w:ascii="仿宋" w:hAnsi="仿宋" w:eastAsia="仿宋" w:cs="仿宋"/>
                <w:b/>
                <w:bCs/>
                <w:i w:val="0"/>
                <w:iCs w:val="0"/>
                <w:color w:val="000000"/>
                <w:kern w:val="0"/>
                <w:sz w:val="24"/>
                <w:szCs w:val="24"/>
                <w:u w:val="none"/>
                <w:lang w:val="en-US" w:eastAsia="zh-CN" w:bidi="ar"/>
              </w:rPr>
              <w:t>个</w:t>
            </w:r>
          </w:p>
        </w:tc>
        <w:tc>
          <w:tcPr>
            <w:tcW w:w="1629" w:type="dxa"/>
            <w:tcBorders>
              <w:bottom w:val="single" w:color="auto" w:sz="4" w:space="0"/>
              <w:tl2br w:val="nil"/>
              <w:tr2bl w:val="nil"/>
            </w:tcBorders>
            <w:noWrap/>
            <w:vAlign w:val="center"/>
          </w:tcPr>
          <w:p w14:paraId="7904CE48">
            <w:pPr>
              <w:keepNext w:val="0"/>
              <w:keepLines w:val="0"/>
              <w:widowControl/>
              <w:suppressLineNumbers w:val="0"/>
              <w:jc w:val="center"/>
              <w:textAlignment w:val="center"/>
              <w:rPr>
                <w:rFonts w:hint="default" w:ascii="Times New Roman" w:hAnsi="Times New Roman" w:eastAsia="仿宋" w:cs="Times New Roman"/>
                <w:b/>
                <w:bCs/>
                <w:i w:val="0"/>
                <w:iCs w:val="0"/>
                <w:color w:val="auto"/>
                <w:kern w:val="0"/>
                <w:sz w:val="24"/>
                <w:szCs w:val="24"/>
                <w:u w:val="none"/>
                <w:lang w:val="en-US" w:eastAsia="zh-CN" w:bidi="ar"/>
              </w:rPr>
            </w:pPr>
            <w:r>
              <w:rPr>
                <w:rFonts w:hint="default" w:ascii="Times New Roman" w:hAnsi="Times New Roman" w:eastAsia="宋体" w:cs="Times New Roman"/>
                <w:b/>
                <w:bCs/>
                <w:i w:val="0"/>
                <w:iCs w:val="0"/>
                <w:color w:val="000000"/>
                <w:kern w:val="0"/>
                <w:sz w:val="24"/>
                <w:szCs w:val="24"/>
                <w:u w:val="none"/>
                <w:lang w:val="en-US" w:eastAsia="zh-CN" w:bidi="ar"/>
              </w:rPr>
              <w:t>320</w:t>
            </w:r>
          </w:p>
        </w:tc>
      </w:tr>
      <w:tr w14:paraId="24D02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00" w:type="dxa"/>
            <w:vMerge w:val="restart"/>
            <w:tcBorders>
              <w:top w:val="single" w:color="auto" w:sz="4" w:space="0"/>
              <w:left w:val="single" w:color="auto" w:sz="4" w:space="0"/>
              <w:bottom w:val="single" w:color="auto" w:sz="4" w:space="0"/>
              <w:tl2br w:val="nil"/>
              <w:tr2bl w:val="nil"/>
            </w:tcBorders>
            <w:noWrap/>
            <w:vAlign w:val="center"/>
          </w:tcPr>
          <w:p w14:paraId="4EB55FCC">
            <w:pPr>
              <w:keepNext w:val="0"/>
              <w:keepLines w:val="0"/>
              <w:widowControl/>
              <w:suppressLineNumbers w:val="0"/>
              <w:jc w:val="center"/>
              <w:textAlignment w:val="center"/>
              <w:rPr>
                <w:rFonts w:hint="default" w:ascii="Times New Roman" w:hAnsi="Times New Roman" w:eastAsia="仿宋" w:cs="Times New Roman"/>
                <w:i w:val="0"/>
                <w:iCs w:val="0"/>
                <w:color w:val="auto"/>
                <w:sz w:val="24"/>
                <w:szCs w:val="24"/>
                <w:u w:val="none"/>
              </w:rPr>
            </w:pPr>
            <w:r>
              <w:rPr>
                <w:rFonts w:hint="eastAsia" w:ascii="仿宋" w:hAnsi="仿宋" w:eastAsia="仿宋" w:cs="仿宋"/>
                <w:i w:val="0"/>
                <w:iCs w:val="0"/>
                <w:color w:val="000000"/>
                <w:kern w:val="0"/>
                <w:sz w:val="24"/>
                <w:szCs w:val="24"/>
                <w:u w:val="none"/>
                <w:lang w:val="en-US" w:eastAsia="zh-CN" w:bidi="ar"/>
              </w:rPr>
              <w:t>新造林抚育</w:t>
            </w:r>
          </w:p>
        </w:tc>
        <w:tc>
          <w:tcPr>
            <w:tcW w:w="1421" w:type="dxa"/>
            <w:tcBorders>
              <w:top w:val="single" w:color="auto" w:sz="4" w:space="0"/>
              <w:bottom w:val="single" w:color="auto" w:sz="4" w:space="0"/>
              <w:tl2br w:val="nil"/>
              <w:tr2bl w:val="nil"/>
            </w:tcBorders>
            <w:noWrap/>
            <w:vAlign w:val="center"/>
          </w:tcPr>
          <w:p w14:paraId="7BD89878">
            <w:pPr>
              <w:keepNext w:val="0"/>
              <w:keepLines w:val="0"/>
              <w:widowControl/>
              <w:suppressLineNumbers w:val="0"/>
              <w:jc w:val="center"/>
              <w:textAlignment w:val="center"/>
              <w:rPr>
                <w:rFonts w:hint="default" w:ascii="Times New Roman" w:hAnsi="Times New Roman" w:eastAsia="仿宋" w:cs="Times New Roman"/>
                <w:i w:val="0"/>
                <w:iCs w:val="0"/>
                <w:color w:val="auto"/>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w:t>
            </w:r>
          </w:p>
        </w:tc>
        <w:tc>
          <w:tcPr>
            <w:tcW w:w="1982" w:type="dxa"/>
            <w:tcBorders>
              <w:top w:val="single" w:color="auto" w:sz="4" w:space="0"/>
              <w:bottom w:val="single" w:color="auto" w:sz="4" w:space="0"/>
              <w:tl2br w:val="nil"/>
              <w:tr2bl w:val="nil"/>
            </w:tcBorders>
            <w:noWrap/>
            <w:vAlign w:val="center"/>
          </w:tcPr>
          <w:p w14:paraId="09225F2E">
            <w:pPr>
              <w:keepNext w:val="0"/>
              <w:keepLines w:val="0"/>
              <w:widowControl/>
              <w:suppressLineNumbers w:val="0"/>
              <w:jc w:val="center"/>
              <w:textAlignment w:val="center"/>
              <w:rPr>
                <w:rFonts w:hint="default" w:ascii="Times New Roman" w:hAnsi="Times New Roman" w:eastAsia="仿宋" w:cs="Times New Roman"/>
                <w:i w:val="0"/>
                <w:iCs w:val="0"/>
                <w:color w:val="auto"/>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东简街道</w:t>
            </w:r>
          </w:p>
        </w:tc>
        <w:tc>
          <w:tcPr>
            <w:tcW w:w="1985" w:type="dxa"/>
            <w:tcBorders>
              <w:top w:val="single" w:color="auto" w:sz="4" w:space="0"/>
              <w:bottom w:val="single" w:color="auto" w:sz="4" w:space="0"/>
              <w:tl2br w:val="nil"/>
              <w:tr2bl w:val="nil"/>
            </w:tcBorders>
            <w:noWrap/>
            <w:vAlign w:val="center"/>
          </w:tcPr>
          <w:p w14:paraId="62040D01">
            <w:pPr>
              <w:keepNext w:val="0"/>
              <w:keepLines w:val="0"/>
              <w:widowControl/>
              <w:suppressLineNumbers w:val="0"/>
              <w:jc w:val="center"/>
              <w:textAlignment w:val="center"/>
              <w:rPr>
                <w:rFonts w:hint="default" w:ascii="Times New Roman" w:hAnsi="Times New Roman" w:eastAsia="仿宋" w:cs="Times New Roman"/>
                <w:i w:val="0"/>
                <w:iCs w:val="0"/>
                <w:color w:val="auto"/>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蔚律村</w:t>
            </w:r>
          </w:p>
        </w:tc>
        <w:tc>
          <w:tcPr>
            <w:tcW w:w="1629" w:type="dxa"/>
            <w:tcBorders>
              <w:top w:val="single" w:color="auto" w:sz="4" w:space="0"/>
              <w:bottom w:val="single" w:color="auto" w:sz="4" w:space="0"/>
              <w:right w:val="single" w:color="auto" w:sz="4" w:space="0"/>
              <w:tl2br w:val="nil"/>
              <w:tr2bl w:val="nil"/>
            </w:tcBorders>
            <w:noWrap/>
            <w:vAlign w:val="center"/>
          </w:tcPr>
          <w:p w14:paraId="283E8C85">
            <w:pPr>
              <w:keepNext w:val="0"/>
              <w:keepLines w:val="0"/>
              <w:widowControl/>
              <w:suppressLineNumbers w:val="0"/>
              <w:jc w:val="center"/>
              <w:textAlignment w:val="center"/>
              <w:rPr>
                <w:rFonts w:hint="default" w:ascii="Times New Roman" w:hAnsi="Times New Roman" w:eastAsia="仿宋" w:cs="Times New Roman"/>
                <w:i w:val="0"/>
                <w:iCs w:val="0"/>
                <w:color w:val="auto"/>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w:t>
            </w:r>
          </w:p>
        </w:tc>
      </w:tr>
      <w:tr w14:paraId="29C6C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00" w:type="dxa"/>
            <w:vMerge w:val="continue"/>
            <w:tcBorders>
              <w:top w:val="single" w:color="auto" w:sz="4" w:space="0"/>
              <w:left w:val="single" w:color="auto" w:sz="4" w:space="0"/>
              <w:tl2br w:val="nil"/>
              <w:tr2bl w:val="nil"/>
            </w:tcBorders>
            <w:noWrap/>
            <w:vAlign w:val="center"/>
          </w:tcPr>
          <w:p w14:paraId="5494C398">
            <w:pPr>
              <w:jc w:val="center"/>
              <w:rPr>
                <w:rFonts w:hint="default" w:ascii="Times New Roman" w:hAnsi="Times New Roman" w:eastAsia="仿宋" w:cs="Times New Roman"/>
                <w:i w:val="0"/>
                <w:iCs w:val="0"/>
                <w:color w:val="auto"/>
                <w:sz w:val="24"/>
                <w:szCs w:val="24"/>
                <w:u w:val="none"/>
              </w:rPr>
            </w:pPr>
          </w:p>
        </w:tc>
        <w:tc>
          <w:tcPr>
            <w:tcW w:w="1421" w:type="dxa"/>
            <w:tcBorders>
              <w:top w:val="single" w:color="auto" w:sz="4" w:space="0"/>
              <w:tl2br w:val="nil"/>
              <w:tr2bl w:val="nil"/>
            </w:tcBorders>
            <w:noWrap/>
            <w:vAlign w:val="center"/>
          </w:tcPr>
          <w:p w14:paraId="04B79C56">
            <w:pPr>
              <w:keepNext w:val="0"/>
              <w:keepLines w:val="0"/>
              <w:widowControl/>
              <w:suppressLineNumbers w:val="0"/>
              <w:jc w:val="center"/>
              <w:textAlignment w:val="center"/>
              <w:rPr>
                <w:rFonts w:hint="default" w:ascii="Times New Roman" w:hAnsi="Times New Roman" w:eastAsia="仿宋" w:cs="Times New Roman"/>
                <w:i w:val="0"/>
                <w:iCs w:val="0"/>
                <w:color w:val="auto"/>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1982" w:type="dxa"/>
            <w:tcBorders>
              <w:top w:val="single" w:color="auto" w:sz="4" w:space="0"/>
              <w:tl2br w:val="nil"/>
              <w:tr2bl w:val="nil"/>
            </w:tcBorders>
            <w:noWrap/>
            <w:vAlign w:val="center"/>
          </w:tcPr>
          <w:p w14:paraId="2130614D">
            <w:pPr>
              <w:keepNext w:val="0"/>
              <w:keepLines w:val="0"/>
              <w:widowControl/>
              <w:suppressLineNumbers w:val="0"/>
              <w:jc w:val="center"/>
              <w:textAlignment w:val="center"/>
              <w:rPr>
                <w:rFonts w:hint="default" w:ascii="Times New Roman" w:hAnsi="Times New Roman" w:eastAsia="仿宋" w:cs="Times New Roman"/>
                <w:i w:val="0"/>
                <w:iCs w:val="0"/>
                <w:color w:val="auto"/>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东简街道</w:t>
            </w:r>
          </w:p>
        </w:tc>
        <w:tc>
          <w:tcPr>
            <w:tcW w:w="1985" w:type="dxa"/>
            <w:tcBorders>
              <w:top w:val="single" w:color="auto" w:sz="4" w:space="0"/>
              <w:tl2br w:val="nil"/>
              <w:tr2bl w:val="nil"/>
            </w:tcBorders>
            <w:noWrap/>
            <w:vAlign w:val="center"/>
          </w:tcPr>
          <w:p w14:paraId="14A0577B">
            <w:pPr>
              <w:keepNext w:val="0"/>
              <w:keepLines w:val="0"/>
              <w:widowControl/>
              <w:suppressLineNumbers w:val="0"/>
              <w:jc w:val="center"/>
              <w:textAlignment w:val="center"/>
              <w:rPr>
                <w:rFonts w:hint="default" w:ascii="Times New Roman" w:hAnsi="Times New Roman" w:eastAsia="仿宋" w:cs="Times New Roman"/>
                <w:i w:val="0"/>
                <w:iCs w:val="0"/>
                <w:color w:val="auto"/>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蔚律村</w:t>
            </w:r>
          </w:p>
        </w:tc>
        <w:tc>
          <w:tcPr>
            <w:tcW w:w="1629" w:type="dxa"/>
            <w:tcBorders>
              <w:top w:val="single" w:color="auto" w:sz="4" w:space="0"/>
              <w:tl2br w:val="nil"/>
              <w:tr2bl w:val="nil"/>
            </w:tcBorders>
            <w:noWrap/>
            <w:vAlign w:val="center"/>
          </w:tcPr>
          <w:p w14:paraId="6DAFA5D6">
            <w:pPr>
              <w:keepNext w:val="0"/>
              <w:keepLines w:val="0"/>
              <w:widowControl/>
              <w:suppressLineNumbers w:val="0"/>
              <w:jc w:val="center"/>
              <w:textAlignment w:val="center"/>
              <w:rPr>
                <w:rFonts w:hint="default" w:ascii="Times New Roman" w:hAnsi="Times New Roman" w:eastAsia="仿宋" w:cs="Times New Roman"/>
                <w:i w:val="0"/>
                <w:iCs w:val="0"/>
                <w:color w:val="auto"/>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w:t>
            </w:r>
          </w:p>
        </w:tc>
      </w:tr>
      <w:tr w14:paraId="14C83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00" w:type="dxa"/>
            <w:vMerge w:val="continue"/>
            <w:tcBorders>
              <w:left w:val="single" w:color="auto" w:sz="4" w:space="0"/>
              <w:tl2br w:val="nil"/>
              <w:tr2bl w:val="nil"/>
            </w:tcBorders>
            <w:noWrap/>
            <w:vAlign w:val="center"/>
          </w:tcPr>
          <w:p w14:paraId="6DAC2E42">
            <w:pPr>
              <w:jc w:val="center"/>
              <w:rPr>
                <w:rFonts w:hint="default" w:ascii="Times New Roman" w:hAnsi="Times New Roman" w:eastAsia="仿宋" w:cs="Times New Roman"/>
                <w:i w:val="0"/>
                <w:iCs w:val="0"/>
                <w:color w:val="auto"/>
                <w:sz w:val="24"/>
                <w:szCs w:val="24"/>
                <w:u w:val="none"/>
              </w:rPr>
            </w:pPr>
          </w:p>
        </w:tc>
        <w:tc>
          <w:tcPr>
            <w:tcW w:w="1421" w:type="dxa"/>
            <w:tcBorders>
              <w:tl2br w:val="nil"/>
              <w:tr2bl w:val="nil"/>
            </w:tcBorders>
            <w:noWrap/>
            <w:vAlign w:val="center"/>
          </w:tcPr>
          <w:p w14:paraId="5A61F81F">
            <w:pPr>
              <w:keepNext w:val="0"/>
              <w:keepLines w:val="0"/>
              <w:widowControl/>
              <w:suppressLineNumbers w:val="0"/>
              <w:jc w:val="center"/>
              <w:textAlignment w:val="center"/>
              <w:rPr>
                <w:rFonts w:hint="default" w:ascii="Times New Roman" w:hAnsi="Times New Roman" w:eastAsia="仿宋" w:cs="Times New Roman"/>
                <w:i w:val="0"/>
                <w:iCs w:val="0"/>
                <w:color w:val="auto"/>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w:t>
            </w:r>
          </w:p>
        </w:tc>
        <w:tc>
          <w:tcPr>
            <w:tcW w:w="1982" w:type="dxa"/>
            <w:tcBorders>
              <w:tl2br w:val="nil"/>
              <w:tr2bl w:val="nil"/>
            </w:tcBorders>
            <w:noWrap/>
            <w:vAlign w:val="center"/>
          </w:tcPr>
          <w:p w14:paraId="69DED7D9">
            <w:pPr>
              <w:keepNext w:val="0"/>
              <w:keepLines w:val="0"/>
              <w:widowControl/>
              <w:suppressLineNumbers w:val="0"/>
              <w:jc w:val="center"/>
              <w:textAlignment w:val="center"/>
              <w:rPr>
                <w:rFonts w:hint="default" w:ascii="Times New Roman" w:hAnsi="Times New Roman" w:eastAsia="仿宋" w:cs="Times New Roman"/>
                <w:i w:val="0"/>
                <w:iCs w:val="0"/>
                <w:color w:val="auto"/>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东简街道</w:t>
            </w:r>
          </w:p>
        </w:tc>
        <w:tc>
          <w:tcPr>
            <w:tcW w:w="1985" w:type="dxa"/>
            <w:tcBorders>
              <w:tl2br w:val="nil"/>
              <w:tr2bl w:val="nil"/>
            </w:tcBorders>
            <w:noWrap/>
            <w:vAlign w:val="center"/>
          </w:tcPr>
          <w:p w14:paraId="633FE79B">
            <w:pPr>
              <w:keepNext w:val="0"/>
              <w:keepLines w:val="0"/>
              <w:widowControl/>
              <w:suppressLineNumbers w:val="0"/>
              <w:jc w:val="center"/>
              <w:textAlignment w:val="center"/>
              <w:rPr>
                <w:rFonts w:hint="default" w:ascii="Times New Roman" w:hAnsi="Times New Roman" w:eastAsia="仿宋" w:cs="Times New Roman"/>
                <w:i w:val="0"/>
                <w:iCs w:val="0"/>
                <w:color w:val="auto"/>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蔚律村</w:t>
            </w:r>
          </w:p>
        </w:tc>
        <w:tc>
          <w:tcPr>
            <w:tcW w:w="1629" w:type="dxa"/>
            <w:tcBorders>
              <w:tl2br w:val="nil"/>
              <w:tr2bl w:val="nil"/>
            </w:tcBorders>
            <w:noWrap/>
            <w:vAlign w:val="center"/>
          </w:tcPr>
          <w:p w14:paraId="19AD0C16">
            <w:pPr>
              <w:keepNext w:val="0"/>
              <w:keepLines w:val="0"/>
              <w:widowControl/>
              <w:suppressLineNumbers w:val="0"/>
              <w:jc w:val="center"/>
              <w:textAlignment w:val="center"/>
              <w:rPr>
                <w:rFonts w:hint="default" w:ascii="Times New Roman" w:hAnsi="Times New Roman" w:eastAsia="仿宋" w:cs="Times New Roman"/>
                <w:i w:val="0"/>
                <w:iCs w:val="0"/>
                <w:color w:val="auto"/>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w:t>
            </w:r>
          </w:p>
        </w:tc>
      </w:tr>
      <w:tr w14:paraId="2782A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00" w:type="dxa"/>
            <w:vMerge w:val="continue"/>
            <w:tcBorders>
              <w:left w:val="single" w:color="auto" w:sz="4" w:space="0"/>
              <w:tl2br w:val="nil"/>
              <w:tr2bl w:val="nil"/>
            </w:tcBorders>
            <w:noWrap/>
            <w:vAlign w:val="center"/>
          </w:tcPr>
          <w:p w14:paraId="5C4AF378">
            <w:pPr>
              <w:jc w:val="center"/>
              <w:rPr>
                <w:rFonts w:hint="default" w:ascii="Times New Roman" w:hAnsi="Times New Roman" w:eastAsia="仿宋" w:cs="Times New Roman"/>
                <w:i w:val="0"/>
                <w:iCs w:val="0"/>
                <w:color w:val="auto"/>
                <w:sz w:val="24"/>
                <w:szCs w:val="24"/>
                <w:u w:val="none"/>
              </w:rPr>
            </w:pPr>
          </w:p>
        </w:tc>
        <w:tc>
          <w:tcPr>
            <w:tcW w:w="1421" w:type="dxa"/>
            <w:tcBorders>
              <w:tl2br w:val="nil"/>
              <w:tr2bl w:val="nil"/>
            </w:tcBorders>
            <w:noWrap/>
            <w:vAlign w:val="center"/>
          </w:tcPr>
          <w:p w14:paraId="132AEA2F">
            <w:pPr>
              <w:keepNext w:val="0"/>
              <w:keepLines w:val="0"/>
              <w:widowControl/>
              <w:suppressLineNumbers w:val="0"/>
              <w:jc w:val="center"/>
              <w:textAlignment w:val="center"/>
              <w:rPr>
                <w:rFonts w:hint="default" w:ascii="Times New Roman" w:hAnsi="Times New Roman" w:eastAsia="仿宋" w:cs="Times New Roman"/>
                <w:i w:val="0"/>
                <w:iCs w:val="0"/>
                <w:color w:val="auto"/>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w:t>
            </w:r>
          </w:p>
        </w:tc>
        <w:tc>
          <w:tcPr>
            <w:tcW w:w="1982" w:type="dxa"/>
            <w:tcBorders>
              <w:tl2br w:val="nil"/>
              <w:tr2bl w:val="nil"/>
            </w:tcBorders>
            <w:noWrap/>
            <w:vAlign w:val="center"/>
          </w:tcPr>
          <w:p w14:paraId="75044774">
            <w:pPr>
              <w:keepNext w:val="0"/>
              <w:keepLines w:val="0"/>
              <w:widowControl/>
              <w:suppressLineNumbers w:val="0"/>
              <w:jc w:val="center"/>
              <w:textAlignment w:val="center"/>
              <w:rPr>
                <w:rFonts w:hint="default" w:ascii="Times New Roman" w:hAnsi="Times New Roman" w:eastAsia="仿宋" w:cs="Times New Roman"/>
                <w:i w:val="0"/>
                <w:iCs w:val="0"/>
                <w:color w:val="auto"/>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东简街道</w:t>
            </w:r>
          </w:p>
        </w:tc>
        <w:tc>
          <w:tcPr>
            <w:tcW w:w="1985" w:type="dxa"/>
            <w:tcBorders>
              <w:tl2br w:val="nil"/>
              <w:tr2bl w:val="nil"/>
            </w:tcBorders>
            <w:noWrap/>
            <w:vAlign w:val="center"/>
          </w:tcPr>
          <w:p w14:paraId="123E209B">
            <w:pPr>
              <w:keepNext w:val="0"/>
              <w:keepLines w:val="0"/>
              <w:widowControl/>
              <w:suppressLineNumbers w:val="0"/>
              <w:jc w:val="center"/>
              <w:textAlignment w:val="center"/>
              <w:rPr>
                <w:rFonts w:hint="default" w:ascii="Times New Roman" w:hAnsi="Times New Roman" w:eastAsia="仿宋" w:cs="Times New Roman"/>
                <w:i w:val="0"/>
                <w:iCs w:val="0"/>
                <w:color w:val="auto"/>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蔚律村</w:t>
            </w:r>
          </w:p>
        </w:tc>
        <w:tc>
          <w:tcPr>
            <w:tcW w:w="1629" w:type="dxa"/>
            <w:tcBorders>
              <w:tl2br w:val="nil"/>
              <w:tr2bl w:val="nil"/>
            </w:tcBorders>
            <w:noWrap/>
            <w:vAlign w:val="center"/>
          </w:tcPr>
          <w:p w14:paraId="6D76A7B6">
            <w:pPr>
              <w:keepNext w:val="0"/>
              <w:keepLines w:val="0"/>
              <w:widowControl/>
              <w:suppressLineNumbers w:val="0"/>
              <w:jc w:val="center"/>
              <w:textAlignment w:val="center"/>
              <w:rPr>
                <w:rFonts w:hint="default" w:ascii="Times New Roman" w:hAnsi="Times New Roman" w:eastAsia="仿宋" w:cs="Times New Roman"/>
                <w:i w:val="0"/>
                <w:iCs w:val="0"/>
                <w:color w:val="auto"/>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77</w:t>
            </w:r>
          </w:p>
        </w:tc>
      </w:tr>
      <w:tr w14:paraId="3A033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00" w:type="dxa"/>
            <w:vMerge w:val="continue"/>
            <w:tcBorders>
              <w:left w:val="single" w:color="auto" w:sz="4" w:space="0"/>
              <w:tl2br w:val="nil"/>
              <w:tr2bl w:val="nil"/>
            </w:tcBorders>
            <w:noWrap/>
            <w:vAlign w:val="center"/>
          </w:tcPr>
          <w:p w14:paraId="7DCA797E">
            <w:pPr>
              <w:jc w:val="center"/>
              <w:rPr>
                <w:rFonts w:hint="default" w:ascii="Times New Roman" w:hAnsi="Times New Roman" w:eastAsia="仿宋" w:cs="Times New Roman"/>
                <w:i w:val="0"/>
                <w:iCs w:val="0"/>
                <w:color w:val="auto"/>
                <w:sz w:val="24"/>
                <w:szCs w:val="24"/>
                <w:u w:val="none"/>
              </w:rPr>
            </w:pPr>
          </w:p>
        </w:tc>
        <w:tc>
          <w:tcPr>
            <w:tcW w:w="1421" w:type="dxa"/>
            <w:tcBorders>
              <w:tl2br w:val="nil"/>
              <w:tr2bl w:val="nil"/>
            </w:tcBorders>
            <w:noWrap/>
            <w:vAlign w:val="center"/>
          </w:tcPr>
          <w:p w14:paraId="52696456">
            <w:pPr>
              <w:keepNext w:val="0"/>
              <w:keepLines w:val="0"/>
              <w:widowControl/>
              <w:suppressLineNumbers w:val="0"/>
              <w:jc w:val="center"/>
              <w:textAlignment w:val="center"/>
              <w:rPr>
                <w:rFonts w:hint="default" w:ascii="Times New Roman" w:hAnsi="Times New Roman" w:eastAsia="仿宋" w:cs="Times New Roman"/>
                <w:i w:val="0"/>
                <w:iCs w:val="0"/>
                <w:color w:val="auto"/>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w:t>
            </w:r>
          </w:p>
        </w:tc>
        <w:tc>
          <w:tcPr>
            <w:tcW w:w="1982" w:type="dxa"/>
            <w:tcBorders>
              <w:tl2br w:val="nil"/>
              <w:tr2bl w:val="nil"/>
            </w:tcBorders>
            <w:noWrap/>
            <w:vAlign w:val="center"/>
          </w:tcPr>
          <w:p w14:paraId="532B1FBE">
            <w:pPr>
              <w:keepNext w:val="0"/>
              <w:keepLines w:val="0"/>
              <w:widowControl/>
              <w:suppressLineNumbers w:val="0"/>
              <w:jc w:val="center"/>
              <w:textAlignment w:val="center"/>
              <w:rPr>
                <w:rFonts w:hint="default" w:ascii="Times New Roman" w:hAnsi="Times New Roman" w:eastAsia="仿宋" w:cs="Times New Roman"/>
                <w:i w:val="0"/>
                <w:iCs w:val="0"/>
                <w:color w:val="auto"/>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东简街道</w:t>
            </w:r>
          </w:p>
        </w:tc>
        <w:tc>
          <w:tcPr>
            <w:tcW w:w="1985" w:type="dxa"/>
            <w:tcBorders>
              <w:tl2br w:val="nil"/>
              <w:tr2bl w:val="nil"/>
            </w:tcBorders>
            <w:noWrap/>
            <w:vAlign w:val="center"/>
          </w:tcPr>
          <w:p w14:paraId="653491EE">
            <w:pPr>
              <w:keepNext w:val="0"/>
              <w:keepLines w:val="0"/>
              <w:widowControl/>
              <w:suppressLineNumbers w:val="0"/>
              <w:jc w:val="center"/>
              <w:textAlignment w:val="center"/>
              <w:rPr>
                <w:rFonts w:hint="default" w:ascii="Times New Roman" w:hAnsi="Times New Roman" w:eastAsia="仿宋" w:cs="Times New Roman"/>
                <w:i w:val="0"/>
                <w:iCs w:val="0"/>
                <w:color w:val="auto"/>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东简林场</w:t>
            </w:r>
          </w:p>
        </w:tc>
        <w:tc>
          <w:tcPr>
            <w:tcW w:w="1629" w:type="dxa"/>
            <w:tcBorders>
              <w:tl2br w:val="nil"/>
              <w:tr2bl w:val="nil"/>
            </w:tcBorders>
            <w:noWrap/>
            <w:vAlign w:val="center"/>
          </w:tcPr>
          <w:p w14:paraId="23F2B797">
            <w:pPr>
              <w:keepNext w:val="0"/>
              <w:keepLines w:val="0"/>
              <w:widowControl/>
              <w:suppressLineNumbers w:val="0"/>
              <w:jc w:val="center"/>
              <w:textAlignment w:val="center"/>
              <w:rPr>
                <w:rFonts w:hint="default" w:ascii="Times New Roman" w:hAnsi="Times New Roman" w:eastAsia="仿宋" w:cs="Times New Roman"/>
                <w:i w:val="0"/>
                <w:iCs w:val="0"/>
                <w:color w:val="auto"/>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30</w:t>
            </w:r>
          </w:p>
        </w:tc>
      </w:tr>
      <w:tr w14:paraId="6F064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00" w:type="dxa"/>
            <w:vMerge w:val="continue"/>
            <w:tcBorders>
              <w:left w:val="single" w:color="auto" w:sz="4" w:space="0"/>
              <w:tl2br w:val="nil"/>
              <w:tr2bl w:val="nil"/>
            </w:tcBorders>
            <w:noWrap/>
            <w:vAlign w:val="center"/>
          </w:tcPr>
          <w:p w14:paraId="3FEE97BC">
            <w:pPr>
              <w:jc w:val="center"/>
              <w:rPr>
                <w:rFonts w:hint="default" w:ascii="Times New Roman" w:hAnsi="Times New Roman" w:eastAsia="仿宋" w:cs="Times New Roman"/>
                <w:i w:val="0"/>
                <w:iCs w:val="0"/>
                <w:color w:val="auto"/>
                <w:sz w:val="24"/>
                <w:szCs w:val="24"/>
                <w:u w:val="none"/>
              </w:rPr>
            </w:pPr>
          </w:p>
        </w:tc>
        <w:tc>
          <w:tcPr>
            <w:tcW w:w="1421" w:type="dxa"/>
            <w:tcBorders>
              <w:tl2br w:val="nil"/>
              <w:tr2bl w:val="nil"/>
            </w:tcBorders>
            <w:noWrap/>
            <w:vAlign w:val="center"/>
          </w:tcPr>
          <w:p w14:paraId="132277BB">
            <w:pPr>
              <w:keepNext w:val="0"/>
              <w:keepLines w:val="0"/>
              <w:widowControl/>
              <w:suppressLineNumbers w:val="0"/>
              <w:jc w:val="center"/>
              <w:textAlignment w:val="center"/>
              <w:rPr>
                <w:rFonts w:hint="default" w:ascii="Times New Roman" w:hAnsi="Times New Roman" w:eastAsia="仿宋" w:cs="Times New Roman"/>
                <w:i w:val="0"/>
                <w:iCs w:val="0"/>
                <w:color w:val="auto"/>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w:t>
            </w:r>
          </w:p>
        </w:tc>
        <w:tc>
          <w:tcPr>
            <w:tcW w:w="1982" w:type="dxa"/>
            <w:tcBorders>
              <w:tl2br w:val="nil"/>
              <w:tr2bl w:val="nil"/>
            </w:tcBorders>
            <w:noWrap/>
            <w:vAlign w:val="center"/>
          </w:tcPr>
          <w:p w14:paraId="5C05D741">
            <w:pPr>
              <w:keepNext w:val="0"/>
              <w:keepLines w:val="0"/>
              <w:widowControl/>
              <w:suppressLineNumbers w:val="0"/>
              <w:jc w:val="center"/>
              <w:textAlignment w:val="center"/>
              <w:rPr>
                <w:rFonts w:hint="default" w:ascii="Times New Roman" w:hAnsi="Times New Roman" w:eastAsia="仿宋" w:cs="Times New Roman"/>
                <w:i w:val="0"/>
                <w:iCs w:val="0"/>
                <w:color w:val="auto"/>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东简街道</w:t>
            </w:r>
          </w:p>
        </w:tc>
        <w:tc>
          <w:tcPr>
            <w:tcW w:w="1985" w:type="dxa"/>
            <w:tcBorders>
              <w:tl2br w:val="nil"/>
              <w:tr2bl w:val="nil"/>
            </w:tcBorders>
            <w:noWrap/>
            <w:vAlign w:val="center"/>
          </w:tcPr>
          <w:p w14:paraId="1760B20A">
            <w:pPr>
              <w:keepNext w:val="0"/>
              <w:keepLines w:val="0"/>
              <w:widowControl/>
              <w:suppressLineNumbers w:val="0"/>
              <w:jc w:val="center"/>
              <w:textAlignment w:val="center"/>
              <w:rPr>
                <w:rFonts w:hint="default" w:ascii="Times New Roman" w:hAnsi="Times New Roman" w:eastAsia="仿宋" w:cs="Times New Roman"/>
                <w:i w:val="0"/>
                <w:iCs w:val="0"/>
                <w:color w:val="auto"/>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龙水村</w:t>
            </w:r>
          </w:p>
        </w:tc>
        <w:tc>
          <w:tcPr>
            <w:tcW w:w="1629" w:type="dxa"/>
            <w:tcBorders>
              <w:tl2br w:val="nil"/>
              <w:tr2bl w:val="nil"/>
            </w:tcBorders>
            <w:noWrap/>
            <w:vAlign w:val="center"/>
          </w:tcPr>
          <w:p w14:paraId="499983AE">
            <w:pPr>
              <w:keepNext w:val="0"/>
              <w:keepLines w:val="0"/>
              <w:widowControl/>
              <w:suppressLineNumbers w:val="0"/>
              <w:jc w:val="center"/>
              <w:textAlignment w:val="center"/>
              <w:rPr>
                <w:rFonts w:hint="default" w:ascii="Times New Roman" w:hAnsi="Times New Roman" w:eastAsia="仿宋" w:cs="Times New Roman"/>
                <w:i w:val="0"/>
                <w:iCs w:val="0"/>
                <w:color w:val="auto"/>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170</w:t>
            </w:r>
          </w:p>
        </w:tc>
      </w:tr>
    </w:tbl>
    <w:p w14:paraId="6EA907AF">
      <w:pPr>
        <w:keepNext w:val="0"/>
        <w:keepLines w:val="0"/>
        <w:pageBreakBefore w:val="0"/>
        <w:widowControl/>
        <w:numPr>
          <w:ilvl w:val="0"/>
          <w:numId w:val="0"/>
        </w:numPr>
        <w:kinsoku/>
        <w:wordWrap/>
        <w:overflowPunct/>
        <w:topLinePunct w:val="0"/>
        <w:autoSpaceDE/>
        <w:autoSpaceDN/>
        <w:bidi w:val="0"/>
        <w:adjustRightInd/>
        <w:snapToGrid/>
        <w:spacing w:line="360" w:lineRule="auto"/>
        <w:textAlignment w:val="auto"/>
        <w:rPr>
          <w:rFonts w:hint="default" w:ascii="宋体"/>
          <w:b w:val="0"/>
          <w:bCs w:val="0"/>
          <w:color w:val="000000"/>
          <w:sz w:val="21"/>
          <w:szCs w:val="21"/>
          <w:lang w:val="en-US" w:eastAsia="zh-CN"/>
        </w:rPr>
      </w:pPr>
    </w:p>
    <w:p w14:paraId="0032A2CA">
      <w:pPr>
        <w:keepNext w:val="0"/>
        <w:keepLines w:val="0"/>
        <w:pageBreakBefore w:val="0"/>
        <w:widowControl/>
        <w:numPr>
          <w:ilvl w:val="0"/>
          <w:numId w:val="0"/>
        </w:numPr>
        <w:kinsoku/>
        <w:wordWrap/>
        <w:overflowPunct/>
        <w:topLinePunct w:val="0"/>
        <w:autoSpaceDE/>
        <w:autoSpaceDN/>
        <w:bidi w:val="0"/>
        <w:adjustRightInd/>
        <w:snapToGrid/>
        <w:spacing w:line="360" w:lineRule="auto"/>
        <w:textAlignment w:val="auto"/>
        <w:rPr>
          <w:rFonts w:hint="default" w:ascii="宋体"/>
          <w:b w:val="0"/>
          <w:bCs w:val="0"/>
          <w:color w:val="000000"/>
          <w:sz w:val="21"/>
          <w:szCs w:val="21"/>
          <w:lang w:val="en-US" w:eastAsia="zh-CN"/>
        </w:rPr>
      </w:pPr>
      <w:bookmarkStart w:id="86" w:name="_Toc13960"/>
      <w:bookmarkStart w:id="87" w:name="_Toc10044"/>
      <w:bookmarkStart w:id="88" w:name="_Toc2914"/>
      <w:bookmarkStart w:id="89" w:name="_Toc18200"/>
      <w:bookmarkStart w:id="90" w:name="_Toc29288"/>
      <w:bookmarkStart w:id="91" w:name="_Toc10090"/>
      <w:bookmarkStart w:id="92" w:name="_Toc24325"/>
      <w:bookmarkStart w:id="93" w:name="_Toc31758"/>
      <w:bookmarkStart w:id="94" w:name="_Toc5708"/>
      <w:r>
        <w:rPr>
          <w:rFonts w:hint="eastAsia" w:ascii="宋体"/>
          <w:b w:val="0"/>
          <w:bCs w:val="0"/>
          <w:color w:val="000000"/>
          <w:sz w:val="21"/>
          <w:szCs w:val="21"/>
          <w:lang w:val="en-US" w:eastAsia="zh-CN"/>
        </w:rPr>
        <w:t>2</w:t>
      </w:r>
      <w:r>
        <w:rPr>
          <w:rFonts w:hint="default" w:ascii="宋体"/>
          <w:b w:val="0"/>
          <w:bCs w:val="0"/>
          <w:color w:val="000000"/>
          <w:sz w:val="21"/>
          <w:szCs w:val="21"/>
          <w:lang w:val="en-US" w:eastAsia="zh-CN"/>
        </w:rPr>
        <w:t>、作业地现状</w:t>
      </w:r>
      <w:bookmarkEnd w:id="86"/>
      <w:bookmarkEnd w:id="87"/>
      <w:bookmarkEnd w:id="88"/>
      <w:bookmarkEnd w:id="89"/>
      <w:bookmarkEnd w:id="90"/>
      <w:bookmarkEnd w:id="91"/>
      <w:bookmarkEnd w:id="92"/>
      <w:bookmarkEnd w:id="93"/>
      <w:bookmarkEnd w:id="94"/>
    </w:p>
    <w:bookmarkEnd w:id="85"/>
    <w:p w14:paraId="7A68A0B0">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b w:val="0"/>
          <w:bCs w:val="0"/>
          <w:color w:val="000000"/>
          <w:sz w:val="21"/>
          <w:szCs w:val="21"/>
          <w:lang w:val="en-US" w:eastAsia="zh-CN"/>
        </w:rPr>
      </w:pPr>
      <w:bookmarkStart w:id="95" w:name="_Toc30052"/>
      <w:bookmarkStart w:id="96" w:name="_Toc20034"/>
      <w:bookmarkStart w:id="97" w:name="_Toc12757"/>
      <w:bookmarkStart w:id="98" w:name="_Toc5973"/>
      <w:bookmarkStart w:id="99" w:name="_Toc4018"/>
      <w:bookmarkStart w:id="100" w:name="_Toc27353"/>
      <w:bookmarkStart w:id="101" w:name="_Toc5133"/>
      <w:bookmarkStart w:id="102" w:name="_Toc1001"/>
      <w:bookmarkStart w:id="103" w:name="_Toc2360"/>
      <w:bookmarkStart w:id="104" w:name="_Toc20267"/>
      <w:r>
        <w:rPr>
          <w:rFonts w:hint="default" w:ascii="宋体"/>
          <w:b w:val="0"/>
          <w:bCs w:val="0"/>
          <w:color w:val="000000"/>
          <w:sz w:val="21"/>
          <w:szCs w:val="21"/>
          <w:lang w:val="en-US" w:eastAsia="zh-CN"/>
        </w:rPr>
        <w:t>湛江经济技术开发区2026年森林质量精准提升（新造林抚育）项目规划建设面积320亩，主要抚育对象为湛江经开区2024年-2025年营建的沿海防护林和水土保持林，现状调查情况如下：</w:t>
      </w:r>
    </w:p>
    <w:p w14:paraId="61F422A1">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b w:val="0"/>
          <w:bCs w:val="0"/>
          <w:color w:val="000000"/>
          <w:sz w:val="21"/>
          <w:szCs w:val="21"/>
          <w:lang w:val="en-US" w:eastAsia="zh-CN"/>
        </w:rPr>
      </w:pPr>
      <w:bookmarkStart w:id="105" w:name="_Toc14330"/>
      <w:r>
        <w:rPr>
          <w:rFonts w:hint="default" w:ascii="宋体"/>
          <w:b w:val="0"/>
          <w:bCs w:val="0"/>
          <w:color w:val="000000"/>
          <w:sz w:val="21"/>
          <w:szCs w:val="21"/>
          <w:lang w:val="en-US" w:eastAsia="zh-CN"/>
        </w:rPr>
        <w:t>项目规划建设面积320亩，主要分布在湛江经开区东简街道，涉及3个行政村，共计6个作业小班。现状地类为未成林地，海拔在6～53m之间，坡度平，土壤为海滨沙土，林下植被主要有鬼针草、杂草等。作业地现状调查结果详见附表1。</w:t>
      </w:r>
      <w:bookmarkEnd w:id="105"/>
    </w:p>
    <w:p w14:paraId="18034AA7">
      <w:pPr>
        <w:keepNext w:val="0"/>
        <w:keepLines w:val="0"/>
        <w:pageBreakBefore w:val="0"/>
        <w:widowControl/>
        <w:numPr>
          <w:ilvl w:val="0"/>
          <w:numId w:val="0"/>
        </w:numPr>
        <w:kinsoku/>
        <w:wordWrap/>
        <w:overflowPunct/>
        <w:topLinePunct w:val="0"/>
        <w:autoSpaceDE/>
        <w:autoSpaceDN/>
        <w:bidi w:val="0"/>
        <w:adjustRightInd/>
        <w:snapToGrid/>
        <w:spacing w:line="360" w:lineRule="auto"/>
        <w:textAlignment w:val="auto"/>
        <w:rPr>
          <w:rFonts w:hint="default" w:ascii="宋体"/>
          <w:b/>
          <w:bCs/>
          <w:color w:val="000000"/>
          <w:sz w:val="21"/>
          <w:szCs w:val="21"/>
          <w:lang w:val="en-US" w:eastAsia="zh-CN"/>
        </w:rPr>
      </w:pPr>
      <w:r>
        <w:rPr>
          <w:rFonts w:hint="default" w:ascii="宋体"/>
          <w:b/>
          <w:bCs/>
          <w:color w:val="000000"/>
          <w:sz w:val="21"/>
          <w:szCs w:val="21"/>
          <w:lang w:val="en-US" w:eastAsia="zh-CN"/>
        </w:rPr>
        <w:t xml:space="preserve">五 </w:t>
      </w:r>
      <w:bookmarkEnd w:id="95"/>
      <w:r>
        <w:rPr>
          <w:rFonts w:hint="eastAsia" w:ascii="宋体"/>
          <w:b/>
          <w:bCs/>
          <w:color w:val="000000"/>
          <w:sz w:val="21"/>
          <w:szCs w:val="21"/>
          <w:lang w:val="en-US" w:eastAsia="zh-CN"/>
        </w:rPr>
        <w:t>、</w:t>
      </w:r>
      <w:r>
        <w:rPr>
          <w:rFonts w:hint="default" w:ascii="宋体"/>
          <w:b/>
          <w:bCs/>
          <w:color w:val="000000"/>
          <w:sz w:val="21"/>
          <w:szCs w:val="21"/>
          <w:lang w:val="en-US" w:eastAsia="zh-CN"/>
        </w:rPr>
        <w:t>作业设计类型</w:t>
      </w:r>
      <w:bookmarkEnd w:id="96"/>
      <w:bookmarkEnd w:id="97"/>
      <w:bookmarkEnd w:id="98"/>
      <w:bookmarkEnd w:id="99"/>
      <w:bookmarkEnd w:id="100"/>
      <w:bookmarkEnd w:id="101"/>
      <w:bookmarkEnd w:id="102"/>
      <w:bookmarkEnd w:id="103"/>
      <w:bookmarkEnd w:id="104"/>
    </w:p>
    <w:p w14:paraId="456F899D">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b w:val="0"/>
          <w:bCs w:val="0"/>
          <w:color w:val="000000"/>
          <w:sz w:val="21"/>
          <w:szCs w:val="21"/>
          <w:lang w:val="en-US" w:eastAsia="zh-CN"/>
        </w:rPr>
      </w:pPr>
      <w:bookmarkStart w:id="106" w:name="_Toc25246"/>
      <w:r>
        <w:rPr>
          <w:rFonts w:hint="default" w:ascii="宋体"/>
          <w:b w:val="0"/>
          <w:bCs w:val="0"/>
          <w:color w:val="000000"/>
          <w:sz w:val="21"/>
          <w:szCs w:val="21"/>
          <w:lang w:val="en-US" w:eastAsia="zh-CN"/>
        </w:rPr>
        <w:t>根据现场调查规划，本项目为新造林抚育类型，抚育对象为湛江经开区2024年-2025年营建的沿海防护林和水土保持林项目地块，主要抚育措施为割灌除草、追肥、培土和补植，总面积为320亩，具体情况详见下表5-1。</w:t>
      </w:r>
    </w:p>
    <w:p w14:paraId="63EBAC91">
      <w:pPr>
        <w:keepNext w:val="0"/>
        <w:keepLines w:val="0"/>
        <w:pageBreakBefore w:val="0"/>
        <w:widowControl/>
        <w:numPr>
          <w:ilvl w:val="0"/>
          <w:numId w:val="0"/>
        </w:numPr>
        <w:kinsoku/>
        <w:wordWrap/>
        <w:overflowPunct/>
        <w:topLinePunct w:val="0"/>
        <w:autoSpaceDE/>
        <w:autoSpaceDN/>
        <w:bidi w:val="0"/>
        <w:adjustRightInd/>
        <w:snapToGrid/>
        <w:spacing w:line="360" w:lineRule="auto"/>
        <w:textAlignment w:val="auto"/>
        <w:rPr>
          <w:rFonts w:hint="default" w:ascii="宋体"/>
          <w:b w:val="0"/>
          <w:bCs w:val="0"/>
          <w:color w:val="000000"/>
          <w:sz w:val="21"/>
          <w:szCs w:val="21"/>
          <w:lang w:val="en-US" w:eastAsia="zh-CN"/>
        </w:rPr>
      </w:pPr>
    </w:p>
    <w:p w14:paraId="4A007712">
      <w:pPr>
        <w:keepNext w:val="0"/>
        <w:keepLines w:val="0"/>
        <w:pageBreakBefore w:val="0"/>
        <w:widowControl/>
        <w:numPr>
          <w:ilvl w:val="0"/>
          <w:numId w:val="0"/>
        </w:numPr>
        <w:kinsoku/>
        <w:wordWrap/>
        <w:overflowPunct/>
        <w:topLinePunct w:val="0"/>
        <w:autoSpaceDE/>
        <w:autoSpaceDN/>
        <w:bidi w:val="0"/>
        <w:adjustRightInd/>
        <w:snapToGrid/>
        <w:spacing w:line="360" w:lineRule="auto"/>
        <w:textAlignment w:val="auto"/>
        <w:rPr>
          <w:rFonts w:hint="default" w:ascii="宋体"/>
          <w:b w:val="0"/>
          <w:bCs w:val="0"/>
          <w:color w:val="000000"/>
          <w:sz w:val="21"/>
          <w:szCs w:val="21"/>
          <w:lang w:val="en-US" w:eastAsia="zh-CN"/>
        </w:rPr>
      </w:pPr>
    </w:p>
    <w:p w14:paraId="49B75B6D">
      <w:pPr>
        <w:keepNext w:val="0"/>
        <w:keepLines w:val="0"/>
        <w:pageBreakBefore w:val="0"/>
        <w:widowControl/>
        <w:numPr>
          <w:ilvl w:val="0"/>
          <w:numId w:val="0"/>
        </w:numPr>
        <w:kinsoku/>
        <w:wordWrap/>
        <w:overflowPunct/>
        <w:topLinePunct w:val="0"/>
        <w:autoSpaceDE/>
        <w:autoSpaceDN/>
        <w:bidi w:val="0"/>
        <w:adjustRightInd/>
        <w:snapToGrid/>
        <w:spacing w:line="360" w:lineRule="auto"/>
        <w:textAlignment w:val="auto"/>
        <w:rPr>
          <w:rFonts w:hint="default" w:ascii="宋体"/>
          <w:b w:val="0"/>
          <w:bCs w:val="0"/>
          <w:color w:val="000000"/>
          <w:sz w:val="21"/>
          <w:szCs w:val="21"/>
          <w:lang w:val="en-US" w:eastAsia="zh-CN"/>
        </w:rPr>
      </w:pPr>
    </w:p>
    <w:p w14:paraId="2B11FA27">
      <w:pPr>
        <w:keepNext w:val="0"/>
        <w:keepLines w:val="0"/>
        <w:pageBreakBefore w:val="0"/>
        <w:widowControl/>
        <w:numPr>
          <w:ilvl w:val="0"/>
          <w:numId w:val="0"/>
        </w:numPr>
        <w:kinsoku/>
        <w:wordWrap/>
        <w:overflowPunct/>
        <w:topLinePunct w:val="0"/>
        <w:autoSpaceDE/>
        <w:autoSpaceDN/>
        <w:bidi w:val="0"/>
        <w:adjustRightInd/>
        <w:snapToGrid/>
        <w:spacing w:line="360" w:lineRule="auto"/>
        <w:textAlignment w:val="auto"/>
        <w:rPr>
          <w:rFonts w:hint="default" w:ascii="宋体"/>
          <w:b w:val="0"/>
          <w:bCs w:val="0"/>
          <w:color w:val="000000"/>
          <w:sz w:val="21"/>
          <w:szCs w:val="21"/>
          <w:lang w:val="en-US" w:eastAsia="zh-CN"/>
        </w:rPr>
      </w:pPr>
    </w:p>
    <w:p w14:paraId="0F140D42">
      <w:pPr>
        <w:keepNext w:val="0"/>
        <w:keepLines w:val="0"/>
        <w:pageBreakBefore w:val="0"/>
        <w:widowControl/>
        <w:numPr>
          <w:ilvl w:val="0"/>
          <w:numId w:val="0"/>
        </w:numPr>
        <w:kinsoku/>
        <w:wordWrap/>
        <w:overflowPunct/>
        <w:topLinePunct w:val="0"/>
        <w:autoSpaceDE/>
        <w:autoSpaceDN/>
        <w:bidi w:val="0"/>
        <w:adjustRightInd/>
        <w:snapToGrid/>
        <w:spacing w:line="360" w:lineRule="auto"/>
        <w:textAlignment w:val="auto"/>
        <w:rPr>
          <w:rFonts w:hint="default" w:ascii="宋体"/>
          <w:b w:val="0"/>
          <w:bCs w:val="0"/>
          <w:color w:val="000000"/>
          <w:sz w:val="21"/>
          <w:szCs w:val="21"/>
          <w:lang w:val="en-US" w:eastAsia="zh-CN"/>
        </w:rPr>
      </w:pPr>
    </w:p>
    <w:p w14:paraId="5359DE9D">
      <w:pPr>
        <w:keepNext w:val="0"/>
        <w:keepLines w:val="0"/>
        <w:pageBreakBefore w:val="0"/>
        <w:widowControl/>
        <w:numPr>
          <w:ilvl w:val="0"/>
          <w:numId w:val="0"/>
        </w:numPr>
        <w:kinsoku/>
        <w:wordWrap/>
        <w:overflowPunct/>
        <w:topLinePunct w:val="0"/>
        <w:autoSpaceDE/>
        <w:autoSpaceDN/>
        <w:bidi w:val="0"/>
        <w:adjustRightInd/>
        <w:snapToGrid/>
        <w:spacing w:line="360" w:lineRule="auto"/>
        <w:textAlignment w:val="auto"/>
        <w:rPr>
          <w:rFonts w:hint="default" w:ascii="宋体"/>
          <w:b w:val="0"/>
          <w:bCs w:val="0"/>
          <w:color w:val="000000"/>
          <w:sz w:val="21"/>
          <w:szCs w:val="21"/>
          <w:lang w:val="en-US" w:eastAsia="zh-CN"/>
        </w:rPr>
      </w:pPr>
    </w:p>
    <w:p w14:paraId="4DE6C862">
      <w:pPr>
        <w:keepNext w:val="0"/>
        <w:keepLines w:val="0"/>
        <w:pageBreakBefore w:val="0"/>
        <w:widowControl/>
        <w:numPr>
          <w:ilvl w:val="0"/>
          <w:numId w:val="0"/>
        </w:numPr>
        <w:kinsoku/>
        <w:wordWrap/>
        <w:overflowPunct/>
        <w:topLinePunct w:val="0"/>
        <w:autoSpaceDE/>
        <w:autoSpaceDN/>
        <w:bidi w:val="0"/>
        <w:adjustRightInd/>
        <w:snapToGrid/>
        <w:spacing w:line="360" w:lineRule="auto"/>
        <w:textAlignment w:val="auto"/>
        <w:rPr>
          <w:rFonts w:hint="default" w:ascii="宋体"/>
          <w:b w:val="0"/>
          <w:bCs w:val="0"/>
          <w:color w:val="000000"/>
          <w:sz w:val="21"/>
          <w:szCs w:val="21"/>
          <w:lang w:val="en-US" w:eastAsia="zh-CN"/>
        </w:rPr>
      </w:pPr>
    </w:p>
    <w:p w14:paraId="4BBBE6DE">
      <w:pPr>
        <w:keepNext w:val="0"/>
        <w:keepLines w:val="0"/>
        <w:pageBreakBefore w:val="0"/>
        <w:widowControl/>
        <w:numPr>
          <w:ilvl w:val="0"/>
          <w:numId w:val="0"/>
        </w:numPr>
        <w:kinsoku/>
        <w:wordWrap/>
        <w:overflowPunct/>
        <w:topLinePunct w:val="0"/>
        <w:autoSpaceDE/>
        <w:autoSpaceDN/>
        <w:bidi w:val="0"/>
        <w:adjustRightInd/>
        <w:snapToGrid/>
        <w:spacing w:line="360" w:lineRule="auto"/>
        <w:textAlignment w:val="auto"/>
        <w:rPr>
          <w:rFonts w:hint="default" w:ascii="宋体"/>
          <w:b w:val="0"/>
          <w:bCs w:val="0"/>
          <w:color w:val="000000"/>
          <w:sz w:val="21"/>
          <w:szCs w:val="21"/>
          <w:lang w:val="en-US" w:eastAsia="zh-CN"/>
        </w:rPr>
      </w:pPr>
    </w:p>
    <w:p w14:paraId="2229CD64">
      <w:pPr>
        <w:keepNext w:val="0"/>
        <w:keepLines w:val="0"/>
        <w:pageBreakBefore w:val="0"/>
        <w:widowControl/>
        <w:numPr>
          <w:ilvl w:val="0"/>
          <w:numId w:val="0"/>
        </w:numPr>
        <w:kinsoku/>
        <w:wordWrap/>
        <w:overflowPunct/>
        <w:topLinePunct w:val="0"/>
        <w:autoSpaceDE/>
        <w:autoSpaceDN/>
        <w:bidi w:val="0"/>
        <w:adjustRightInd/>
        <w:snapToGrid/>
        <w:spacing w:line="360" w:lineRule="auto"/>
        <w:textAlignment w:val="auto"/>
        <w:rPr>
          <w:rFonts w:hint="default" w:ascii="宋体"/>
          <w:b w:val="0"/>
          <w:bCs w:val="0"/>
          <w:color w:val="000000"/>
          <w:sz w:val="21"/>
          <w:szCs w:val="21"/>
          <w:lang w:val="en-US" w:eastAsia="zh-CN"/>
        </w:rPr>
      </w:pPr>
      <w:r>
        <w:rPr>
          <w:rFonts w:hint="default" w:ascii="宋体"/>
          <w:b w:val="0"/>
          <w:bCs w:val="0"/>
          <w:color w:val="000000"/>
          <w:sz w:val="21"/>
          <w:szCs w:val="21"/>
          <w:lang w:val="en-US" w:eastAsia="zh-CN"/>
        </w:rPr>
        <w:t>表5-1   作业设计类型表</w:t>
      </w:r>
    </w:p>
    <w:tbl>
      <w:tblPr>
        <w:tblStyle w:val="4"/>
        <w:tblW w:w="88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0"/>
        <w:gridCol w:w="1850"/>
        <w:gridCol w:w="6166"/>
      </w:tblGrid>
      <w:tr w14:paraId="4BE9D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7" w:hRule="atLeast"/>
          <w:jc w:val="center"/>
        </w:trPr>
        <w:tc>
          <w:tcPr>
            <w:tcW w:w="2710" w:type="dxa"/>
            <w:gridSpan w:val="2"/>
            <w:shd w:val="clear" w:color="auto" w:fill="BEBEBE"/>
            <w:noWrap/>
            <w:vAlign w:val="center"/>
          </w:tcPr>
          <w:p w14:paraId="71F3EFAD">
            <w:pPr>
              <w:widowControl/>
              <w:jc w:val="center"/>
              <w:rPr>
                <w:rFonts w:hint="default" w:ascii="Times New Roman" w:hAnsi="Times New Roman" w:eastAsia="仿宋" w:cs="Times New Roman"/>
                <w:b/>
                <w:bCs/>
                <w:color w:val="auto"/>
                <w:kern w:val="0"/>
                <w:sz w:val="22"/>
                <w:szCs w:val="22"/>
                <w:highlight w:val="none"/>
                <w:lang w:val="en-US" w:eastAsia="zh-CN"/>
              </w:rPr>
            </w:pPr>
            <w:r>
              <w:rPr>
                <w:rFonts w:hint="default" w:ascii="Times New Roman" w:hAnsi="Times New Roman" w:eastAsia="仿宋" w:cs="Times New Roman"/>
                <w:b/>
                <w:bCs/>
                <w:color w:val="auto"/>
                <w:kern w:val="0"/>
                <w:sz w:val="22"/>
                <w:szCs w:val="22"/>
                <w:highlight w:val="none"/>
                <w:lang w:val="en-US" w:eastAsia="zh-CN"/>
              </w:rPr>
              <w:t>作业</w:t>
            </w:r>
            <w:r>
              <w:rPr>
                <w:rFonts w:hint="default" w:ascii="Times New Roman" w:hAnsi="Times New Roman" w:eastAsia="仿宋" w:cs="Times New Roman"/>
                <w:b/>
                <w:bCs/>
                <w:color w:val="auto"/>
                <w:kern w:val="0"/>
                <w:sz w:val="22"/>
                <w:szCs w:val="22"/>
                <w:highlight w:val="none"/>
              </w:rPr>
              <w:t>类型</w:t>
            </w:r>
          </w:p>
        </w:tc>
        <w:tc>
          <w:tcPr>
            <w:tcW w:w="6166" w:type="dxa"/>
            <w:shd w:val="clear" w:color="auto" w:fill="BEBEBE"/>
            <w:noWrap/>
            <w:vAlign w:val="center"/>
          </w:tcPr>
          <w:p w14:paraId="252E021C">
            <w:pPr>
              <w:widowControl/>
              <w:jc w:val="center"/>
              <w:rPr>
                <w:rFonts w:hint="default" w:ascii="Times New Roman" w:hAnsi="Times New Roman" w:eastAsia="仿宋" w:cs="Times New Roman"/>
                <w:b/>
                <w:bCs/>
                <w:color w:val="auto"/>
                <w:kern w:val="0"/>
                <w:sz w:val="22"/>
                <w:szCs w:val="22"/>
                <w:highlight w:val="none"/>
                <w:lang w:eastAsia="zh-CN"/>
              </w:rPr>
            </w:pPr>
            <w:r>
              <w:rPr>
                <w:rFonts w:hint="default" w:ascii="Times New Roman" w:hAnsi="Times New Roman" w:eastAsia="仿宋" w:cs="Times New Roman"/>
                <w:b/>
                <w:bCs/>
                <w:color w:val="auto"/>
                <w:kern w:val="0"/>
                <w:sz w:val="22"/>
                <w:szCs w:val="22"/>
                <w:highlight w:val="none"/>
                <w:lang w:eastAsia="zh-CN"/>
              </w:rPr>
              <w:t>新造林抚育</w:t>
            </w:r>
          </w:p>
        </w:tc>
      </w:tr>
      <w:tr w14:paraId="0B5DE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jc w:val="center"/>
        </w:trPr>
        <w:tc>
          <w:tcPr>
            <w:tcW w:w="2710" w:type="dxa"/>
            <w:gridSpan w:val="2"/>
            <w:noWrap/>
            <w:vAlign w:val="center"/>
          </w:tcPr>
          <w:p w14:paraId="21AFB35A">
            <w:pPr>
              <w:widowControl/>
              <w:jc w:val="center"/>
              <w:rPr>
                <w:rFonts w:hint="default" w:ascii="Times New Roman" w:hAnsi="Times New Roman" w:eastAsia="仿宋" w:cs="Times New Roman"/>
                <w:b/>
                <w:bCs/>
                <w:color w:val="auto"/>
                <w:kern w:val="0"/>
                <w:sz w:val="22"/>
                <w:szCs w:val="22"/>
                <w:highlight w:val="none"/>
              </w:rPr>
            </w:pPr>
            <w:r>
              <w:rPr>
                <w:rFonts w:hint="default" w:ascii="Times New Roman" w:hAnsi="Times New Roman" w:eastAsia="仿宋" w:cs="Times New Roman"/>
                <w:b/>
                <w:bCs/>
                <w:color w:val="auto"/>
                <w:kern w:val="0"/>
                <w:sz w:val="22"/>
                <w:szCs w:val="22"/>
                <w:highlight w:val="none"/>
                <w:lang w:val="en-US" w:eastAsia="zh-CN"/>
              </w:rPr>
              <w:t>作业</w:t>
            </w:r>
            <w:r>
              <w:rPr>
                <w:rFonts w:hint="default" w:ascii="Times New Roman" w:hAnsi="Times New Roman" w:eastAsia="仿宋" w:cs="Times New Roman"/>
                <w:b/>
                <w:bCs/>
                <w:color w:val="auto"/>
                <w:kern w:val="0"/>
                <w:sz w:val="22"/>
                <w:szCs w:val="22"/>
                <w:highlight w:val="none"/>
              </w:rPr>
              <w:t>面积</w:t>
            </w:r>
            <w:r>
              <w:rPr>
                <w:rFonts w:hint="default" w:ascii="Times New Roman" w:hAnsi="Times New Roman" w:eastAsia="仿宋" w:cs="Times New Roman"/>
                <w:b/>
                <w:bCs/>
                <w:color w:val="auto"/>
                <w:kern w:val="0"/>
                <w:sz w:val="22"/>
                <w:szCs w:val="22"/>
                <w:highlight w:val="none"/>
                <w:lang w:eastAsia="zh-CN"/>
              </w:rPr>
              <w:t>（</w:t>
            </w:r>
            <w:r>
              <w:rPr>
                <w:rFonts w:hint="default" w:ascii="Times New Roman" w:hAnsi="Times New Roman" w:eastAsia="仿宋" w:cs="Times New Roman"/>
                <w:b/>
                <w:bCs/>
                <w:color w:val="auto"/>
                <w:kern w:val="0"/>
                <w:sz w:val="22"/>
                <w:szCs w:val="22"/>
                <w:highlight w:val="none"/>
                <w:lang w:val="en-US" w:eastAsia="zh-CN"/>
              </w:rPr>
              <w:t>亩</w:t>
            </w:r>
            <w:r>
              <w:rPr>
                <w:rFonts w:hint="default" w:ascii="Times New Roman" w:hAnsi="Times New Roman" w:eastAsia="仿宋" w:cs="Times New Roman"/>
                <w:b/>
                <w:bCs/>
                <w:color w:val="auto"/>
                <w:kern w:val="0"/>
                <w:sz w:val="22"/>
                <w:szCs w:val="22"/>
                <w:highlight w:val="none"/>
                <w:lang w:eastAsia="zh-CN"/>
              </w:rPr>
              <w:t>）</w:t>
            </w:r>
          </w:p>
        </w:tc>
        <w:tc>
          <w:tcPr>
            <w:tcW w:w="6166" w:type="dxa"/>
            <w:noWrap/>
            <w:vAlign w:val="center"/>
          </w:tcPr>
          <w:p w14:paraId="346A1810">
            <w:pPr>
              <w:keepNext w:val="0"/>
              <w:keepLines w:val="0"/>
              <w:widowControl/>
              <w:suppressLineNumbers w:val="0"/>
              <w:jc w:val="center"/>
              <w:textAlignment w:val="center"/>
              <w:rPr>
                <w:rFonts w:hint="default" w:ascii="Times New Roman" w:hAnsi="Times New Roman" w:eastAsia="仿宋" w:cs="Times New Roman"/>
                <w:i w:val="0"/>
                <w:iCs w:val="0"/>
                <w:color w:val="auto"/>
                <w:kern w:val="0"/>
                <w:sz w:val="22"/>
                <w:szCs w:val="22"/>
                <w:highlight w:val="none"/>
                <w:u w:val="none"/>
                <w:lang w:val="en-US" w:eastAsia="zh-CN" w:bidi="ar"/>
              </w:rPr>
            </w:pPr>
            <w:r>
              <w:rPr>
                <w:rFonts w:hint="eastAsia" w:ascii="Times New Roman" w:hAnsi="Times New Roman" w:eastAsia="仿宋" w:cs="Times New Roman"/>
                <w:i w:val="0"/>
                <w:iCs w:val="0"/>
                <w:color w:val="auto"/>
                <w:kern w:val="0"/>
                <w:sz w:val="22"/>
                <w:szCs w:val="22"/>
                <w:highlight w:val="none"/>
                <w:u w:val="none"/>
                <w:lang w:val="en-US" w:eastAsia="zh-CN" w:bidi="ar"/>
              </w:rPr>
              <w:t>3</w:t>
            </w:r>
            <w:r>
              <w:rPr>
                <w:rFonts w:hint="default" w:ascii="Times New Roman" w:hAnsi="Times New Roman" w:eastAsia="仿宋" w:cs="Times New Roman"/>
                <w:i w:val="0"/>
                <w:iCs w:val="0"/>
                <w:color w:val="auto"/>
                <w:kern w:val="0"/>
                <w:sz w:val="22"/>
                <w:szCs w:val="22"/>
                <w:highlight w:val="none"/>
                <w:u w:val="none"/>
                <w:lang w:val="en-US" w:eastAsia="zh-CN" w:bidi="ar"/>
              </w:rPr>
              <w:t>20亩</w:t>
            </w:r>
          </w:p>
        </w:tc>
      </w:tr>
      <w:tr w14:paraId="6C4F9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4" w:hRule="atLeast"/>
          <w:jc w:val="center"/>
        </w:trPr>
        <w:tc>
          <w:tcPr>
            <w:tcW w:w="2710" w:type="dxa"/>
            <w:gridSpan w:val="2"/>
            <w:noWrap/>
            <w:vAlign w:val="center"/>
          </w:tcPr>
          <w:p w14:paraId="01202E92">
            <w:pPr>
              <w:widowControl/>
              <w:jc w:val="center"/>
              <w:rPr>
                <w:rFonts w:hint="default" w:ascii="Times New Roman" w:hAnsi="Times New Roman" w:eastAsia="仿宋" w:cs="Times New Roman"/>
                <w:b/>
                <w:bCs/>
                <w:color w:val="auto"/>
                <w:kern w:val="0"/>
                <w:sz w:val="22"/>
                <w:szCs w:val="22"/>
                <w:highlight w:val="none"/>
                <w:lang w:val="en-US" w:eastAsia="zh-CN"/>
              </w:rPr>
            </w:pPr>
            <w:r>
              <w:rPr>
                <w:rFonts w:hint="default" w:ascii="Times New Roman" w:hAnsi="Times New Roman" w:eastAsia="仿宋" w:cs="Times New Roman"/>
                <w:b/>
                <w:bCs/>
                <w:color w:val="auto"/>
                <w:kern w:val="0"/>
                <w:sz w:val="22"/>
                <w:szCs w:val="22"/>
                <w:highlight w:val="none"/>
                <w:lang w:val="en-US" w:eastAsia="zh-CN"/>
              </w:rPr>
              <w:t>作业小班</w:t>
            </w:r>
          </w:p>
        </w:tc>
        <w:tc>
          <w:tcPr>
            <w:tcW w:w="6166" w:type="dxa"/>
            <w:noWrap w:val="0"/>
            <w:vAlign w:val="center"/>
          </w:tcPr>
          <w:p w14:paraId="45371A3E">
            <w:pPr>
              <w:widowControl/>
              <w:jc w:val="center"/>
              <w:rPr>
                <w:rFonts w:hint="default" w:ascii="Times New Roman" w:hAnsi="Times New Roman" w:eastAsia="仿宋" w:cs="Times New Roman"/>
                <w:color w:val="auto"/>
                <w:kern w:val="0"/>
                <w:sz w:val="22"/>
                <w:szCs w:val="22"/>
                <w:highlight w:val="none"/>
                <w:lang w:val="en-US"/>
              </w:rPr>
            </w:pPr>
            <w:r>
              <w:rPr>
                <w:rFonts w:hint="default" w:ascii="Times New Roman" w:hAnsi="Times New Roman" w:eastAsia="仿宋" w:cs="Times New Roman"/>
                <w:color w:val="auto"/>
                <w:kern w:val="0"/>
                <w:sz w:val="22"/>
                <w:szCs w:val="22"/>
                <w:highlight w:val="none"/>
                <w:lang w:val="en-US" w:eastAsia="zh-CN"/>
              </w:rPr>
              <w:t>1-</w:t>
            </w:r>
            <w:r>
              <w:rPr>
                <w:rFonts w:hint="eastAsia" w:ascii="Times New Roman" w:hAnsi="Times New Roman" w:eastAsia="仿宋" w:cs="Times New Roman"/>
                <w:color w:val="auto"/>
                <w:kern w:val="0"/>
                <w:sz w:val="22"/>
                <w:szCs w:val="22"/>
                <w:highlight w:val="none"/>
                <w:lang w:val="en-US" w:eastAsia="zh-CN"/>
              </w:rPr>
              <w:t>6</w:t>
            </w:r>
            <w:r>
              <w:rPr>
                <w:rFonts w:hint="default" w:ascii="Times New Roman" w:hAnsi="Times New Roman" w:eastAsia="仿宋" w:cs="Times New Roman"/>
                <w:color w:val="auto"/>
                <w:kern w:val="0"/>
                <w:sz w:val="22"/>
                <w:szCs w:val="22"/>
                <w:highlight w:val="none"/>
                <w:lang w:val="en-US" w:eastAsia="zh-CN"/>
              </w:rPr>
              <w:t>号小班</w:t>
            </w:r>
          </w:p>
        </w:tc>
      </w:tr>
      <w:tr w14:paraId="78D06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9" w:hRule="atLeast"/>
          <w:jc w:val="center"/>
        </w:trPr>
        <w:tc>
          <w:tcPr>
            <w:tcW w:w="860" w:type="dxa"/>
            <w:vMerge w:val="restart"/>
            <w:noWrap/>
            <w:vAlign w:val="center"/>
          </w:tcPr>
          <w:p w14:paraId="691D4E51">
            <w:pPr>
              <w:widowControl/>
              <w:spacing w:beforeLines="0" w:afterLines="0"/>
              <w:jc w:val="center"/>
              <w:rPr>
                <w:rFonts w:hint="default" w:ascii="Times New Roman" w:hAnsi="Times New Roman" w:eastAsia="仿宋" w:cs="Times New Roman"/>
                <w:color w:val="auto"/>
                <w:sz w:val="22"/>
                <w:szCs w:val="22"/>
                <w:highlight w:val="none"/>
                <w:lang w:val="en-US" w:eastAsia="zh-CN"/>
              </w:rPr>
            </w:pPr>
            <w:r>
              <w:rPr>
                <w:rFonts w:hint="default" w:ascii="Times New Roman" w:hAnsi="Times New Roman" w:eastAsia="仿宋" w:cs="Times New Roman"/>
                <w:b/>
                <w:bCs/>
                <w:color w:val="auto"/>
                <w:sz w:val="22"/>
                <w:szCs w:val="22"/>
                <w:highlight w:val="none"/>
                <w:lang w:val="en-US" w:eastAsia="zh-CN"/>
              </w:rPr>
              <w:t>抚育措施</w:t>
            </w:r>
          </w:p>
        </w:tc>
        <w:tc>
          <w:tcPr>
            <w:tcW w:w="1850" w:type="dxa"/>
            <w:noWrap/>
            <w:vAlign w:val="center"/>
          </w:tcPr>
          <w:p w14:paraId="0F50510E">
            <w:pPr>
              <w:widowControl/>
              <w:spacing w:beforeLines="0" w:afterLines="0"/>
              <w:jc w:val="center"/>
              <w:rPr>
                <w:rFonts w:hint="default" w:ascii="Times New Roman" w:hAnsi="Times New Roman" w:eastAsia="仿宋" w:cs="Times New Roman"/>
                <w:b/>
                <w:bCs/>
                <w:color w:val="auto"/>
                <w:kern w:val="0"/>
                <w:sz w:val="22"/>
                <w:szCs w:val="22"/>
                <w:highlight w:val="none"/>
                <w:lang w:val="en-US" w:eastAsia="zh-CN"/>
              </w:rPr>
            </w:pPr>
            <w:r>
              <w:rPr>
                <w:rFonts w:hint="default" w:ascii="Times New Roman" w:hAnsi="Times New Roman" w:eastAsia="仿宋" w:cs="Times New Roman"/>
                <w:color w:val="auto"/>
                <w:sz w:val="22"/>
                <w:szCs w:val="22"/>
                <w:highlight w:val="none"/>
                <w:lang w:val="en-US" w:eastAsia="zh-CN"/>
              </w:rPr>
              <w:t>割灌除草</w:t>
            </w:r>
          </w:p>
        </w:tc>
        <w:tc>
          <w:tcPr>
            <w:tcW w:w="6166" w:type="dxa"/>
            <w:noWrap w:val="0"/>
            <w:vAlign w:val="center"/>
          </w:tcPr>
          <w:p w14:paraId="1E11F564">
            <w:pPr>
              <w:widowControl/>
              <w:jc w:val="center"/>
              <w:rPr>
                <w:rFonts w:hint="default" w:ascii="Times New Roman" w:hAnsi="Times New Roman" w:eastAsia="仿宋" w:cs="Times New Roman"/>
                <w:color w:val="auto"/>
                <w:kern w:val="0"/>
                <w:sz w:val="22"/>
                <w:szCs w:val="22"/>
                <w:highlight w:val="none"/>
                <w:lang w:val="en-US" w:eastAsia="zh-CN"/>
              </w:rPr>
            </w:pPr>
            <w:r>
              <w:rPr>
                <w:rFonts w:hint="default" w:ascii="Times New Roman" w:hAnsi="Times New Roman" w:eastAsia="仿宋" w:cs="Times New Roman"/>
                <w:color w:val="auto"/>
                <w:sz w:val="22"/>
                <w:szCs w:val="22"/>
              </w:rPr>
              <w:t>清除妨碍树木生长的灌木、藤蔓和杂草，块状除草，清除杂草半径</w:t>
            </w:r>
            <w:r>
              <w:rPr>
                <w:rFonts w:hint="eastAsia" w:ascii="Times New Roman" w:hAnsi="Times New Roman" w:eastAsia="仿宋" w:cs="Times New Roman"/>
                <w:color w:val="auto"/>
                <w:sz w:val="22"/>
                <w:szCs w:val="22"/>
                <w:lang w:val="en-US" w:eastAsia="zh-CN"/>
              </w:rPr>
              <w:t>≥1.0</w:t>
            </w:r>
            <w:r>
              <w:rPr>
                <w:rFonts w:hint="default" w:ascii="Times New Roman" w:hAnsi="Times New Roman" w:eastAsia="仿宋" w:cs="Times New Roman"/>
                <w:color w:val="auto"/>
                <w:sz w:val="22"/>
                <w:szCs w:val="22"/>
              </w:rPr>
              <w:t>m</w:t>
            </w:r>
          </w:p>
        </w:tc>
      </w:tr>
      <w:tr w14:paraId="6DFD9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8" w:hRule="atLeast"/>
          <w:jc w:val="center"/>
        </w:trPr>
        <w:tc>
          <w:tcPr>
            <w:tcW w:w="860" w:type="dxa"/>
            <w:vMerge w:val="continue"/>
            <w:noWrap/>
            <w:vAlign w:val="center"/>
          </w:tcPr>
          <w:p w14:paraId="525FAD91">
            <w:pPr>
              <w:widowControl/>
              <w:spacing w:beforeLines="0" w:afterLines="0"/>
              <w:jc w:val="center"/>
              <w:rPr>
                <w:rFonts w:hint="default" w:ascii="Times New Roman" w:hAnsi="Times New Roman" w:eastAsia="仿宋" w:cs="Times New Roman"/>
                <w:color w:val="auto"/>
                <w:sz w:val="22"/>
                <w:szCs w:val="22"/>
              </w:rPr>
            </w:pPr>
          </w:p>
        </w:tc>
        <w:tc>
          <w:tcPr>
            <w:tcW w:w="1850" w:type="dxa"/>
            <w:noWrap/>
            <w:vAlign w:val="center"/>
          </w:tcPr>
          <w:p w14:paraId="61042982">
            <w:pPr>
              <w:widowControl/>
              <w:spacing w:beforeLines="0" w:afterLines="0"/>
              <w:jc w:val="center"/>
              <w:rPr>
                <w:rFonts w:hint="default" w:ascii="Times New Roman" w:hAnsi="Times New Roman" w:eastAsia="仿宋" w:cs="Times New Roman"/>
                <w:b/>
                <w:bCs/>
                <w:color w:val="auto"/>
                <w:kern w:val="0"/>
                <w:sz w:val="22"/>
                <w:szCs w:val="22"/>
                <w:highlight w:val="none"/>
                <w:lang w:val="en-US" w:eastAsia="zh-CN"/>
              </w:rPr>
            </w:pPr>
            <w:r>
              <w:rPr>
                <w:rFonts w:hint="default" w:ascii="Times New Roman" w:hAnsi="Times New Roman" w:eastAsia="仿宋" w:cs="Times New Roman"/>
                <w:color w:val="auto"/>
                <w:sz w:val="22"/>
                <w:szCs w:val="22"/>
              </w:rPr>
              <w:t>培土</w:t>
            </w:r>
          </w:p>
        </w:tc>
        <w:tc>
          <w:tcPr>
            <w:tcW w:w="6166" w:type="dxa"/>
            <w:noWrap w:val="0"/>
            <w:vAlign w:val="center"/>
          </w:tcPr>
          <w:p w14:paraId="2944B70A">
            <w:pPr>
              <w:widowControl/>
              <w:jc w:val="center"/>
              <w:rPr>
                <w:rFonts w:hint="default" w:ascii="Times New Roman" w:hAnsi="Times New Roman" w:eastAsia="仿宋" w:cs="Times New Roman"/>
                <w:color w:val="auto"/>
                <w:kern w:val="0"/>
                <w:sz w:val="22"/>
                <w:szCs w:val="22"/>
                <w:highlight w:val="none"/>
                <w:lang w:val="en-US" w:eastAsia="zh-CN"/>
              </w:rPr>
            </w:pPr>
            <w:r>
              <w:rPr>
                <w:rFonts w:hint="default" w:ascii="Times New Roman" w:hAnsi="Times New Roman" w:eastAsia="仿宋" w:cs="Times New Roman"/>
                <w:color w:val="auto"/>
                <w:sz w:val="22"/>
                <w:szCs w:val="22"/>
              </w:rPr>
              <w:t>将幼树周边土壤回覆形成半径0.</w:t>
            </w:r>
            <w:r>
              <w:rPr>
                <w:rFonts w:hint="eastAsia" w:ascii="Times New Roman" w:hAnsi="Times New Roman" w:eastAsia="仿宋" w:cs="Times New Roman"/>
                <w:color w:val="auto"/>
                <w:sz w:val="22"/>
                <w:szCs w:val="22"/>
                <w:lang w:val="en-US" w:eastAsia="zh-CN"/>
              </w:rPr>
              <w:t>5</w:t>
            </w:r>
            <w:r>
              <w:rPr>
                <w:rFonts w:hint="default" w:ascii="Times New Roman" w:hAnsi="Times New Roman" w:eastAsia="仿宋" w:cs="Times New Roman"/>
                <w:color w:val="auto"/>
                <w:sz w:val="22"/>
                <w:szCs w:val="22"/>
              </w:rPr>
              <w:t>m 的圆形平台</w:t>
            </w:r>
          </w:p>
        </w:tc>
      </w:tr>
      <w:tr w14:paraId="3B661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8" w:hRule="atLeast"/>
          <w:jc w:val="center"/>
        </w:trPr>
        <w:tc>
          <w:tcPr>
            <w:tcW w:w="860" w:type="dxa"/>
            <w:vMerge w:val="continue"/>
            <w:noWrap/>
            <w:vAlign w:val="center"/>
          </w:tcPr>
          <w:p w14:paraId="1FC11451">
            <w:pPr>
              <w:widowControl/>
              <w:jc w:val="center"/>
              <w:rPr>
                <w:rFonts w:hint="default" w:ascii="Times New Roman" w:hAnsi="Times New Roman" w:eastAsia="仿宋" w:cs="Times New Roman"/>
                <w:color w:val="auto"/>
                <w:sz w:val="22"/>
                <w:szCs w:val="22"/>
              </w:rPr>
            </w:pPr>
          </w:p>
        </w:tc>
        <w:tc>
          <w:tcPr>
            <w:tcW w:w="1850" w:type="dxa"/>
            <w:noWrap/>
            <w:vAlign w:val="center"/>
          </w:tcPr>
          <w:p w14:paraId="2ABE3606">
            <w:pPr>
              <w:widowControl/>
              <w:jc w:val="center"/>
              <w:rPr>
                <w:rFonts w:hint="default" w:ascii="Times New Roman" w:hAnsi="Times New Roman" w:eastAsia="仿宋" w:cs="Times New Roman"/>
                <w:b/>
                <w:bCs/>
                <w:color w:val="auto"/>
                <w:kern w:val="0"/>
                <w:sz w:val="22"/>
                <w:szCs w:val="22"/>
                <w:highlight w:val="none"/>
                <w:lang w:val="en-US" w:eastAsia="zh-CN"/>
              </w:rPr>
            </w:pPr>
            <w:r>
              <w:rPr>
                <w:rFonts w:hint="default" w:ascii="Times New Roman" w:hAnsi="Times New Roman" w:eastAsia="仿宋" w:cs="Times New Roman"/>
                <w:color w:val="auto"/>
                <w:sz w:val="22"/>
                <w:szCs w:val="22"/>
              </w:rPr>
              <w:t>基肥（复合肥）</w:t>
            </w:r>
          </w:p>
        </w:tc>
        <w:tc>
          <w:tcPr>
            <w:tcW w:w="6166" w:type="dxa"/>
            <w:noWrap w:val="0"/>
            <w:vAlign w:val="center"/>
          </w:tcPr>
          <w:p w14:paraId="547D8F3C">
            <w:pPr>
              <w:widowControl/>
              <w:jc w:val="center"/>
              <w:rPr>
                <w:rFonts w:hint="default" w:ascii="Times New Roman" w:hAnsi="Times New Roman" w:eastAsia="仿宋" w:cs="Times New Roman"/>
                <w:color w:val="auto"/>
                <w:kern w:val="0"/>
                <w:sz w:val="22"/>
                <w:szCs w:val="22"/>
                <w:highlight w:val="none"/>
                <w:lang w:val="en-US" w:eastAsia="zh-CN"/>
              </w:rPr>
            </w:pPr>
            <w:r>
              <w:rPr>
                <w:rFonts w:hint="default" w:ascii="Times New Roman" w:hAnsi="Times New Roman" w:eastAsia="仿宋" w:cs="Times New Roman"/>
                <w:color w:val="auto"/>
                <w:sz w:val="22"/>
                <w:szCs w:val="22"/>
              </w:rPr>
              <w:t>复合肥（NPK</w:t>
            </w:r>
            <w:r>
              <w:rPr>
                <w:rFonts w:hint="default" w:ascii="Times New Roman" w:hAnsi="Times New Roman" w:eastAsia="仿宋" w:cs="Times New Roman"/>
                <w:color w:val="auto"/>
                <w:sz w:val="22"/>
                <w:szCs w:val="22"/>
                <w:lang w:eastAsia="zh-CN"/>
              </w:rPr>
              <w:t>≥</w:t>
            </w:r>
            <w:r>
              <w:rPr>
                <w:rFonts w:hint="eastAsia" w:ascii="Times New Roman" w:hAnsi="Times New Roman" w:eastAsia="仿宋" w:cs="Times New Roman"/>
                <w:color w:val="auto"/>
                <w:sz w:val="22"/>
                <w:szCs w:val="22"/>
                <w:lang w:val="en-US" w:eastAsia="zh-CN"/>
              </w:rPr>
              <w:t>45</w:t>
            </w:r>
            <w:r>
              <w:rPr>
                <w:rFonts w:hint="default" w:ascii="Times New Roman" w:hAnsi="Times New Roman" w:eastAsia="仿宋" w:cs="Times New Roman"/>
                <w:color w:val="auto"/>
                <w:sz w:val="22"/>
                <w:szCs w:val="22"/>
              </w:rPr>
              <w:t>%）</w:t>
            </w:r>
            <w:r>
              <w:rPr>
                <w:rFonts w:hint="default" w:ascii="Times New Roman" w:hAnsi="Times New Roman" w:eastAsia="仿宋" w:cs="Times New Roman"/>
                <w:color w:val="auto"/>
                <w:sz w:val="22"/>
                <w:szCs w:val="22"/>
                <w:lang w:eastAsia="zh-CN"/>
              </w:rPr>
              <w:t>，</w:t>
            </w:r>
            <w:r>
              <w:rPr>
                <w:rFonts w:hint="default" w:ascii="Times New Roman" w:hAnsi="Times New Roman" w:eastAsia="仿宋" w:cs="Times New Roman"/>
                <w:color w:val="auto"/>
                <w:sz w:val="22"/>
                <w:szCs w:val="22"/>
              </w:rPr>
              <w:t>每穴施</w:t>
            </w:r>
            <w:r>
              <w:rPr>
                <w:rFonts w:hint="default" w:ascii="Times New Roman" w:hAnsi="Times New Roman" w:eastAsia="仿宋" w:cs="Times New Roman"/>
                <w:color w:val="auto"/>
                <w:sz w:val="22"/>
                <w:szCs w:val="22"/>
                <w:lang w:val="en-US" w:eastAsia="zh-CN"/>
              </w:rPr>
              <w:t xml:space="preserve"> 0.</w:t>
            </w:r>
            <w:r>
              <w:rPr>
                <w:rFonts w:hint="eastAsia" w:ascii="Times New Roman" w:hAnsi="Times New Roman" w:eastAsia="仿宋" w:cs="Times New Roman"/>
                <w:color w:val="auto"/>
                <w:sz w:val="22"/>
                <w:szCs w:val="22"/>
                <w:lang w:val="en-US" w:eastAsia="zh-CN"/>
              </w:rPr>
              <w:t>5</w:t>
            </w:r>
            <w:r>
              <w:rPr>
                <w:rFonts w:hint="default" w:ascii="Times New Roman" w:hAnsi="Times New Roman" w:eastAsia="仿宋" w:cs="Times New Roman"/>
                <w:color w:val="auto"/>
                <w:sz w:val="22"/>
                <w:szCs w:val="22"/>
                <w:lang w:val="en-US" w:eastAsia="zh-CN"/>
              </w:rPr>
              <w:t xml:space="preserve"> </w:t>
            </w:r>
            <w:r>
              <w:rPr>
                <w:rFonts w:hint="default" w:ascii="Times New Roman" w:hAnsi="Times New Roman" w:eastAsia="仿宋" w:cs="Times New Roman"/>
                <w:color w:val="auto"/>
                <w:sz w:val="22"/>
                <w:szCs w:val="22"/>
              </w:rPr>
              <w:t>kg</w:t>
            </w:r>
          </w:p>
        </w:tc>
      </w:tr>
      <w:tr w14:paraId="5934A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8" w:hRule="atLeast"/>
          <w:jc w:val="center"/>
        </w:trPr>
        <w:tc>
          <w:tcPr>
            <w:tcW w:w="860" w:type="dxa"/>
            <w:vMerge w:val="continue"/>
            <w:noWrap/>
            <w:vAlign w:val="center"/>
          </w:tcPr>
          <w:p w14:paraId="21470E79">
            <w:pPr>
              <w:widowControl/>
              <w:spacing w:beforeLines="0" w:afterLines="0"/>
              <w:jc w:val="center"/>
              <w:rPr>
                <w:rFonts w:hint="default" w:ascii="Times New Roman" w:hAnsi="Times New Roman" w:eastAsia="仿宋" w:cs="Times New Roman"/>
                <w:color w:val="auto"/>
                <w:sz w:val="22"/>
                <w:szCs w:val="22"/>
              </w:rPr>
            </w:pPr>
          </w:p>
        </w:tc>
        <w:tc>
          <w:tcPr>
            <w:tcW w:w="1850" w:type="dxa"/>
            <w:noWrap/>
            <w:vAlign w:val="center"/>
          </w:tcPr>
          <w:p w14:paraId="6CBC99F9">
            <w:pPr>
              <w:widowControl/>
              <w:spacing w:beforeLines="0" w:afterLines="0"/>
              <w:jc w:val="center"/>
              <w:rPr>
                <w:rFonts w:hint="default" w:ascii="Times New Roman" w:hAnsi="Times New Roman" w:eastAsia="仿宋" w:cs="Times New Roman"/>
                <w:b/>
                <w:bCs/>
                <w:color w:val="auto"/>
                <w:kern w:val="0"/>
                <w:sz w:val="22"/>
                <w:szCs w:val="22"/>
                <w:highlight w:val="none"/>
                <w:lang w:val="en-US" w:eastAsia="zh-CN"/>
              </w:rPr>
            </w:pPr>
            <w:r>
              <w:rPr>
                <w:rFonts w:hint="default" w:ascii="Times New Roman" w:hAnsi="Times New Roman" w:eastAsia="仿宋" w:cs="Times New Roman"/>
                <w:color w:val="auto"/>
                <w:sz w:val="22"/>
                <w:szCs w:val="22"/>
              </w:rPr>
              <w:t>追肥（复合肥）</w:t>
            </w:r>
          </w:p>
        </w:tc>
        <w:tc>
          <w:tcPr>
            <w:tcW w:w="6166" w:type="dxa"/>
            <w:noWrap w:val="0"/>
            <w:vAlign w:val="center"/>
          </w:tcPr>
          <w:p w14:paraId="47E0801A">
            <w:pPr>
              <w:widowControl/>
              <w:jc w:val="center"/>
              <w:rPr>
                <w:rFonts w:hint="default" w:ascii="Times New Roman" w:hAnsi="Times New Roman" w:eastAsia="仿宋" w:cs="Times New Roman"/>
                <w:color w:val="auto"/>
                <w:kern w:val="0"/>
                <w:sz w:val="22"/>
                <w:szCs w:val="22"/>
                <w:highlight w:val="none"/>
                <w:lang w:val="en-US" w:eastAsia="zh-CN"/>
              </w:rPr>
            </w:pPr>
            <w:r>
              <w:rPr>
                <w:rFonts w:hint="default" w:ascii="Times New Roman" w:hAnsi="Times New Roman" w:eastAsia="仿宋" w:cs="Times New Roman"/>
                <w:color w:val="auto"/>
                <w:sz w:val="22"/>
                <w:szCs w:val="22"/>
              </w:rPr>
              <w:t>复合肥（NPK</w:t>
            </w:r>
            <w:r>
              <w:rPr>
                <w:rFonts w:hint="default" w:ascii="Times New Roman" w:hAnsi="Times New Roman" w:eastAsia="仿宋" w:cs="Times New Roman"/>
                <w:color w:val="auto"/>
                <w:sz w:val="22"/>
                <w:szCs w:val="22"/>
                <w:lang w:eastAsia="zh-CN"/>
              </w:rPr>
              <w:t>≥</w:t>
            </w:r>
            <w:r>
              <w:rPr>
                <w:rFonts w:hint="eastAsia" w:ascii="Times New Roman" w:hAnsi="Times New Roman" w:eastAsia="仿宋" w:cs="Times New Roman"/>
                <w:color w:val="auto"/>
                <w:sz w:val="22"/>
                <w:szCs w:val="22"/>
                <w:lang w:val="en-US" w:eastAsia="zh-CN"/>
              </w:rPr>
              <w:t>45</w:t>
            </w:r>
            <w:r>
              <w:rPr>
                <w:rFonts w:hint="default" w:ascii="Times New Roman" w:hAnsi="Times New Roman" w:eastAsia="仿宋" w:cs="Times New Roman"/>
                <w:color w:val="auto"/>
                <w:sz w:val="22"/>
                <w:szCs w:val="22"/>
              </w:rPr>
              <w:t>%）</w:t>
            </w:r>
            <w:r>
              <w:rPr>
                <w:rFonts w:hint="default" w:ascii="Times New Roman" w:hAnsi="Times New Roman" w:eastAsia="仿宋" w:cs="Times New Roman"/>
                <w:color w:val="auto"/>
                <w:kern w:val="0"/>
                <w:sz w:val="22"/>
                <w:szCs w:val="22"/>
                <w:highlight w:val="none"/>
                <w:lang w:val="en-US" w:eastAsia="zh-CN"/>
              </w:rPr>
              <w:t>，每株幼树施放复合肥0.</w:t>
            </w:r>
            <w:r>
              <w:rPr>
                <w:rFonts w:hint="eastAsia" w:ascii="Times New Roman" w:hAnsi="Times New Roman" w:eastAsia="仿宋" w:cs="Times New Roman"/>
                <w:color w:val="auto"/>
                <w:kern w:val="0"/>
                <w:sz w:val="22"/>
                <w:szCs w:val="22"/>
                <w:highlight w:val="none"/>
                <w:lang w:val="en-US" w:eastAsia="zh-CN"/>
              </w:rPr>
              <w:t>25</w:t>
            </w:r>
            <w:r>
              <w:rPr>
                <w:rFonts w:hint="default" w:ascii="Times New Roman" w:hAnsi="Times New Roman" w:eastAsia="仿宋" w:cs="Times New Roman"/>
                <w:color w:val="auto"/>
                <w:kern w:val="0"/>
                <w:sz w:val="22"/>
                <w:szCs w:val="22"/>
                <w:highlight w:val="none"/>
                <w:lang w:val="en-US" w:eastAsia="zh-CN"/>
              </w:rPr>
              <w:t>kg</w:t>
            </w:r>
          </w:p>
        </w:tc>
      </w:tr>
      <w:tr w14:paraId="7C2B3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8" w:hRule="atLeast"/>
          <w:jc w:val="center"/>
        </w:trPr>
        <w:tc>
          <w:tcPr>
            <w:tcW w:w="860" w:type="dxa"/>
            <w:vMerge w:val="continue"/>
            <w:noWrap/>
            <w:vAlign w:val="center"/>
          </w:tcPr>
          <w:p w14:paraId="744C43B7">
            <w:pPr>
              <w:widowControl/>
              <w:spacing w:beforeLines="0" w:afterLines="0"/>
              <w:jc w:val="center"/>
              <w:rPr>
                <w:rFonts w:hint="default" w:ascii="Times New Roman" w:hAnsi="Times New Roman" w:eastAsia="仿宋" w:cs="Times New Roman"/>
                <w:color w:val="auto"/>
                <w:sz w:val="22"/>
                <w:szCs w:val="22"/>
              </w:rPr>
            </w:pPr>
          </w:p>
        </w:tc>
        <w:tc>
          <w:tcPr>
            <w:tcW w:w="1850" w:type="dxa"/>
            <w:noWrap/>
            <w:vAlign w:val="center"/>
          </w:tcPr>
          <w:p w14:paraId="2A9E4A85">
            <w:pPr>
              <w:widowControl/>
              <w:spacing w:beforeLines="0" w:afterLines="0"/>
              <w:jc w:val="center"/>
              <w:rPr>
                <w:rFonts w:hint="default" w:ascii="Times New Roman" w:hAnsi="Times New Roman" w:eastAsia="仿宋" w:cs="Times New Roman"/>
                <w:b/>
                <w:bCs/>
                <w:color w:val="auto"/>
                <w:kern w:val="0"/>
                <w:sz w:val="22"/>
                <w:szCs w:val="22"/>
                <w:highlight w:val="none"/>
                <w:lang w:val="en-US" w:eastAsia="zh-CN"/>
              </w:rPr>
            </w:pPr>
            <w:r>
              <w:rPr>
                <w:rFonts w:hint="default" w:ascii="Times New Roman" w:hAnsi="Times New Roman" w:eastAsia="仿宋" w:cs="Times New Roman"/>
                <w:color w:val="auto"/>
                <w:sz w:val="22"/>
                <w:szCs w:val="22"/>
              </w:rPr>
              <w:t>补植树种</w:t>
            </w:r>
          </w:p>
        </w:tc>
        <w:tc>
          <w:tcPr>
            <w:tcW w:w="6166" w:type="dxa"/>
            <w:noWrap w:val="0"/>
            <w:vAlign w:val="center"/>
          </w:tcPr>
          <w:p w14:paraId="7488B3F3">
            <w:pPr>
              <w:widowControl/>
              <w:jc w:val="center"/>
              <w:rPr>
                <w:rFonts w:hint="default" w:ascii="Times New Roman" w:hAnsi="Times New Roman" w:eastAsia="仿宋" w:cs="Times New Roman"/>
                <w:color w:val="auto"/>
                <w:kern w:val="0"/>
                <w:sz w:val="22"/>
                <w:szCs w:val="22"/>
                <w:highlight w:val="none"/>
                <w:lang w:val="en-US" w:eastAsia="zh-CN"/>
              </w:rPr>
            </w:pPr>
            <w:r>
              <w:rPr>
                <w:rFonts w:hint="default" w:ascii="Times New Roman" w:hAnsi="Times New Roman" w:eastAsia="仿宋" w:cs="Times New Roman"/>
                <w:color w:val="auto"/>
                <w:kern w:val="0"/>
                <w:sz w:val="22"/>
                <w:szCs w:val="22"/>
                <w:highlight w:val="none"/>
                <w:lang w:val="en-US" w:eastAsia="zh-CN"/>
              </w:rPr>
              <w:t>木麻黄</w:t>
            </w:r>
          </w:p>
        </w:tc>
      </w:tr>
      <w:tr w14:paraId="08392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8" w:hRule="atLeast"/>
          <w:jc w:val="center"/>
        </w:trPr>
        <w:tc>
          <w:tcPr>
            <w:tcW w:w="860" w:type="dxa"/>
            <w:vMerge w:val="continue"/>
            <w:noWrap/>
            <w:vAlign w:val="center"/>
          </w:tcPr>
          <w:p w14:paraId="72FB6FA3">
            <w:pPr>
              <w:widowControl/>
              <w:jc w:val="center"/>
              <w:rPr>
                <w:rFonts w:hint="default" w:ascii="Times New Roman" w:hAnsi="Times New Roman" w:eastAsia="仿宋" w:cs="Times New Roman"/>
                <w:color w:val="auto"/>
                <w:sz w:val="22"/>
                <w:szCs w:val="22"/>
              </w:rPr>
            </w:pPr>
          </w:p>
        </w:tc>
        <w:tc>
          <w:tcPr>
            <w:tcW w:w="1850" w:type="dxa"/>
            <w:noWrap/>
            <w:vAlign w:val="center"/>
          </w:tcPr>
          <w:p w14:paraId="37231E7A">
            <w:pPr>
              <w:widowControl/>
              <w:jc w:val="center"/>
              <w:rPr>
                <w:rFonts w:hint="default" w:ascii="Times New Roman" w:hAnsi="Times New Roman" w:eastAsia="仿宋" w:cs="Times New Roman"/>
                <w:b/>
                <w:bCs/>
                <w:color w:val="auto"/>
                <w:kern w:val="0"/>
                <w:sz w:val="22"/>
                <w:szCs w:val="22"/>
                <w:highlight w:val="none"/>
                <w:lang w:val="en-US" w:eastAsia="zh-CN"/>
              </w:rPr>
            </w:pPr>
            <w:r>
              <w:rPr>
                <w:rFonts w:hint="default" w:ascii="Times New Roman" w:hAnsi="Times New Roman" w:eastAsia="仿宋" w:cs="Times New Roman"/>
                <w:color w:val="auto"/>
                <w:sz w:val="22"/>
                <w:szCs w:val="22"/>
              </w:rPr>
              <w:t>苗木规格</w:t>
            </w:r>
          </w:p>
        </w:tc>
        <w:tc>
          <w:tcPr>
            <w:tcW w:w="6166" w:type="dxa"/>
            <w:noWrap w:val="0"/>
            <w:vAlign w:val="center"/>
          </w:tcPr>
          <w:p w14:paraId="663F8038">
            <w:pPr>
              <w:widowControl/>
              <w:jc w:val="center"/>
              <w:rPr>
                <w:rFonts w:hint="default" w:ascii="Times New Roman" w:hAnsi="Times New Roman" w:eastAsia="仿宋" w:cs="Times New Roman"/>
                <w:color w:val="auto"/>
                <w:kern w:val="0"/>
                <w:sz w:val="22"/>
                <w:szCs w:val="22"/>
                <w:highlight w:val="none"/>
                <w:lang w:val="en-US" w:eastAsia="zh-CN"/>
              </w:rPr>
            </w:pPr>
            <w:r>
              <w:rPr>
                <w:rFonts w:hint="default" w:ascii="Times New Roman" w:hAnsi="Times New Roman" w:eastAsia="仿宋" w:cs="Times New Roman"/>
                <w:color w:val="auto"/>
                <w:kern w:val="0"/>
                <w:sz w:val="22"/>
                <w:szCs w:val="22"/>
                <w:highlight w:val="none"/>
                <w:lang w:val="en-US" w:eastAsia="zh-CN"/>
              </w:rPr>
              <w:t>1.5年生以上、苗高65cm以上、地径0.65cm以上抗逆性好的实生苗</w:t>
            </w:r>
          </w:p>
        </w:tc>
      </w:tr>
      <w:tr w14:paraId="05CDE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8" w:hRule="atLeast"/>
          <w:jc w:val="center"/>
        </w:trPr>
        <w:tc>
          <w:tcPr>
            <w:tcW w:w="860" w:type="dxa"/>
            <w:vMerge w:val="continue"/>
            <w:noWrap/>
            <w:vAlign w:val="center"/>
          </w:tcPr>
          <w:p w14:paraId="301B8C76">
            <w:pPr>
              <w:widowControl/>
              <w:spacing w:beforeLines="0" w:afterLines="0"/>
              <w:jc w:val="center"/>
              <w:rPr>
                <w:rFonts w:hint="default" w:ascii="Times New Roman" w:hAnsi="Times New Roman" w:eastAsia="仿宋" w:cs="Times New Roman"/>
                <w:color w:val="auto"/>
                <w:sz w:val="22"/>
                <w:szCs w:val="22"/>
              </w:rPr>
            </w:pPr>
          </w:p>
        </w:tc>
        <w:tc>
          <w:tcPr>
            <w:tcW w:w="1850" w:type="dxa"/>
            <w:noWrap/>
            <w:vAlign w:val="center"/>
          </w:tcPr>
          <w:p w14:paraId="348C35BF">
            <w:pPr>
              <w:widowControl/>
              <w:spacing w:beforeLines="0" w:afterLines="0"/>
              <w:jc w:val="center"/>
              <w:rPr>
                <w:rFonts w:hint="default" w:ascii="Times New Roman" w:hAnsi="Times New Roman" w:eastAsia="仿宋" w:cs="Times New Roman"/>
                <w:b/>
                <w:bCs/>
                <w:color w:val="auto"/>
                <w:kern w:val="0"/>
                <w:sz w:val="22"/>
                <w:szCs w:val="22"/>
                <w:highlight w:val="none"/>
                <w:lang w:val="en-US" w:eastAsia="zh-CN"/>
              </w:rPr>
            </w:pPr>
            <w:r>
              <w:rPr>
                <w:rFonts w:hint="default" w:ascii="Times New Roman" w:hAnsi="Times New Roman" w:eastAsia="仿宋" w:cs="Times New Roman"/>
                <w:color w:val="auto"/>
                <w:sz w:val="22"/>
                <w:szCs w:val="22"/>
              </w:rPr>
              <w:t>用苗量（含5%苗木耗损量）</w:t>
            </w:r>
          </w:p>
        </w:tc>
        <w:tc>
          <w:tcPr>
            <w:tcW w:w="6166" w:type="dxa"/>
            <w:noWrap w:val="0"/>
            <w:vAlign w:val="center"/>
          </w:tcPr>
          <w:p w14:paraId="16435305">
            <w:pPr>
              <w:widowControl/>
              <w:jc w:val="center"/>
              <w:rPr>
                <w:rFonts w:hint="default" w:ascii="Times New Roman" w:hAnsi="Times New Roman" w:eastAsia="仿宋" w:cs="Times New Roman"/>
                <w:color w:val="auto"/>
                <w:kern w:val="0"/>
                <w:sz w:val="22"/>
                <w:szCs w:val="22"/>
                <w:highlight w:val="none"/>
                <w:lang w:val="en-US" w:eastAsia="zh-CN"/>
              </w:rPr>
            </w:pPr>
            <w:r>
              <w:rPr>
                <w:rFonts w:hint="default" w:ascii="Times New Roman" w:hAnsi="Times New Roman" w:eastAsia="仿宋" w:cs="Times New Roman"/>
                <w:color w:val="auto"/>
                <w:kern w:val="0"/>
                <w:sz w:val="22"/>
                <w:szCs w:val="22"/>
                <w:highlight w:val="none"/>
                <w:lang w:val="en-US" w:eastAsia="zh-CN"/>
              </w:rPr>
              <w:t>49</w:t>
            </w:r>
            <w:r>
              <w:rPr>
                <w:rFonts w:hint="eastAsia" w:ascii="Times New Roman" w:hAnsi="Times New Roman" w:eastAsia="仿宋" w:cs="Times New Roman"/>
                <w:color w:val="auto"/>
                <w:kern w:val="0"/>
                <w:sz w:val="22"/>
                <w:szCs w:val="22"/>
                <w:highlight w:val="none"/>
                <w:lang w:val="en-US" w:eastAsia="zh-CN"/>
              </w:rPr>
              <w:t>56</w:t>
            </w:r>
            <w:r>
              <w:rPr>
                <w:rFonts w:hint="default" w:ascii="Times New Roman" w:hAnsi="Times New Roman" w:eastAsia="仿宋" w:cs="Times New Roman"/>
                <w:color w:val="auto"/>
                <w:kern w:val="0"/>
                <w:sz w:val="22"/>
                <w:szCs w:val="22"/>
                <w:highlight w:val="none"/>
                <w:lang w:val="en-US" w:eastAsia="zh-CN"/>
              </w:rPr>
              <w:t>株</w:t>
            </w:r>
          </w:p>
        </w:tc>
      </w:tr>
    </w:tbl>
    <w:p w14:paraId="2FAC2DFE">
      <w:pPr>
        <w:keepNext w:val="0"/>
        <w:keepLines w:val="0"/>
        <w:pageBreakBefore w:val="0"/>
        <w:widowControl/>
        <w:numPr>
          <w:ilvl w:val="0"/>
          <w:numId w:val="0"/>
        </w:numPr>
        <w:kinsoku/>
        <w:wordWrap/>
        <w:overflowPunct/>
        <w:topLinePunct w:val="0"/>
        <w:autoSpaceDE/>
        <w:autoSpaceDN/>
        <w:bidi w:val="0"/>
        <w:adjustRightInd/>
        <w:snapToGrid/>
        <w:spacing w:line="360" w:lineRule="auto"/>
        <w:textAlignment w:val="auto"/>
        <w:rPr>
          <w:rFonts w:hint="default" w:ascii="宋体"/>
          <w:b w:val="0"/>
          <w:bCs w:val="0"/>
          <w:color w:val="000000"/>
          <w:sz w:val="21"/>
          <w:szCs w:val="21"/>
          <w:lang w:val="en-US" w:eastAsia="zh-CN"/>
        </w:rPr>
      </w:pPr>
    </w:p>
    <w:bookmarkEnd w:id="106"/>
    <w:p w14:paraId="742FED8A">
      <w:pPr>
        <w:keepNext w:val="0"/>
        <w:keepLines w:val="0"/>
        <w:pageBreakBefore w:val="0"/>
        <w:widowControl/>
        <w:numPr>
          <w:ilvl w:val="0"/>
          <w:numId w:val="0"/>
        </w:numPr>
        <w:kinsoku/>
        <w:wordWrap/>
        <w:overflowPunct/>
        <w:topLinePunct w:val="0"/>
        <w:autoSpaceDE/>
        <w:autoSpaceDN/>
        <w:bidi w:val="0"/>
        <w:adjustRightInd/>
        <w:snapToGrid/>
        <w:spacing w:line="360" w:lineRule="auto"/>
        <w:textAlignment w:val="auto"/>
        <w:rPr>
          <w:rFonts w:hint="default" w:ascii="宋体"/>
          <w:b/>
          <w:bCs/>
          <w:color w:val="000000"/>
          <w:sz w:val="21"/>
          <w:szCs w:val="21"/>
          <w:lang w:val="en-US" w:eastAsia="zh-CN"/>
        </w:rPr>
      </w:pPr>
      <w:r>
        <w:rPr>
          <w:rFonts w:hint="default" w:ascii="宋体"/>
          <w:b/>
          <w:bCs/>
          <w:color w:val="000000"/>
          <w:sz w:val="21"/>
          <w:szCs w:val="21"/>
          <w:lang w:val="en-US" w:eastAsia="zh-CN"/>
        </w:rPr>
        <w:t xml:space="preserve"> </w:t>
      </w:r>
      <w:bookmarkStart w:id="107" w:name="_Toc28868"/>
      <w:bookmarkStart w:id="108" w:name="_Toc26087"/>
      <w:bookmarkStart w:id="109" w:name="_Toc7145"/>
      <w:bookmarkStart w:id="110" w:name="_Toc7256"/>
      <w:bookmarkStart w:id="111" w:name="_Toc25461"/>
      <w:bookmarkStart w:id="112" w:name="_Toc18312"/>
      <w:bookmarkStart w:id="113" w:name="_Toc4173"/>
      <w:bookmarkStart w:id="114" w:name="_Toc20374"/>
      <w:bookmarkStart w:id="115" w:name="_Toc30016"/>
      <w:bookmarkStart w:id="116" w:name="_Toc13669"/>
      <w:r>
        <w:rPr>
          <w:rFonts w:hint="default" w:ascii="宋体"/>
          <w:b/>
          <w:bCs/>
          <w:color w:val="000000"/>
          <w:sz w:val="21"/>
          <w:szCs w:val="21"/>
          <w:lang w:val="en-US" w:eastAsia="zh-CN"/>
        </w:rPr>
        <w:t>六</w:t>
      </w:r>
      <w:bookmarkEnd w:id="107"/>
      <w:r>
        <w:rPr>
          <w:rFonts w:hint="eastAsia" w:ascii="宋体"/>
          <w:b/>
          <w:bCs/>
          <w:color w:val="000000"/>
          <w:sz w:val="21"/>
          <w:szCs w:val="21"/>
          <w:lang w:val="en-US" w:eastAsia="zh-CN"/>
        </w:rPr>
        <w:t>、</w:t>
      </w:r>
      <w:r>
        <w:rPr>
          <w:rFonts w:hint="default" w:ascii="宋体"/>
          <w:b/>
          <w:bCs/>
          <w:color w:val="000000"/>
          <w:sz w:val="21"/>
          <w:szCs w:val="21"/>
          <w:lang w:val="en-US" w:eastAsia="zh-CN"/>
        </w:rPr>
        <w:t>主要技术措施</w:t>
      </w:r>
      <w:bookmarkEnd w:id="108"/>
      <w:bookmarkEnd w:id="109"/>
      <w:bookmarkEnd w:id="110"/>
      <w:bookmarkEnd w:id="111"/>
      <w:bookmarkEnd w:id="112"/>
      <w:bookmarkEnd w:id="113"/>
      <w:bookmarkEnd w:id="114"/>
      <w:bookmarkEnd w:id="115"/>
      <w:bookmarkEnd w:id="116"/>
    </w:p>
    <w:p w14:paraId="697057F6">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b w:val="0"/>
          <w:bCs w:val="0"/>
          <w:color w:val="000000"/>
          <w:sz w:val="21"/>
          <w:szCs w:val="21"/>
          <w:lang w:val="en-US" w:eastAsia="zh-CN"/>
        </w:rPr>
      </w:pPr>
      <w:bookmarkStart w:id="117" w:name="_Toc8354"/>
      <w:bookmarkStart w:id="118" w:name="_Toc19812"/>
      <w:bookmarkStart w:id="119" w:name="_Toc30972"/>
      <w:bookmarkStart w:id="120" w:name="_Toc19524"/>
      <w:bookmarkStart w:id="121" w:name="_Toc5439"/>
      <w:bookmarkStart w:id="122" w:name="_Toc16594"/>
      <w:r>
        <w:rPr>
          <w:rFonts w:hint="eastAsia" w:ascii="宋体"/>
          <w:b w:val="0"/>
          <w:bCs w:val="0"/>
          <w:color w:val="000000"/>
          <w:sz w:val="21"/>
          <w:szCs w:val="21"/>
          <w:lang w:val="en-US" w:eastAsia="zh-CN"/>
        </w:rPr>
        <w:t>根据《广东省林业局关于印发森林质量精准提升行动技术指南的通知》（粤林函〔2023〕11号），经现场调查规划，湛江经济技术开发区2026年森林质量精准提升（新造林抚育）项目规划建设面积320亩，主要技术措施如下：</w:t>
      </w:r>
    </w:p>
    <w:bookmarkEnd w:id="117"/>
    <w:bookmarkEnd w:id="118"/>
    <w:bookmarkEnd w:id="119"/>
    <w:bookmarkEnd w:id="120"/>
    <w:p w14:paraId="088465F7">
      <w:pPr>
        <w:keepNext w:val="0"/>
        <w:keepLines w:val="0"/>
        <w:pageBreakBefore w:val="0"/>
        <w:widowControl/>
        <w:numPr>
          <w:ilvl w:val="0"/>
          <w:numId w:val="0"/>
        </w:numPr>
        <w:kinsoku/>
        <w:wordWrap/>
        <w:overflowPunct/>
        <w:topLinePunct w:val="0"/>
        <w:autoSpaceDE/>
        <w:autoSpaceDN/>
        <w:bidi w:val="0"/>
        <w:adjustRightInd/>
        <w:snapToGrid/>
        <w:spacing w:line="360" w:lineRule="auto"/>
        <w:textAlignment w:val="auto"/>
        <w:rPr>
          <w:rFonts w:hint="default" w:ascii="宋体"/>
          <w:b w:val="0"/>
          <w:bCs w:val="0"/>
          <w:color w:val="000000"/>
          <w:sz w:val="21"/>
          <w:szCs w:val="21"/>
          <w:lang w:val="en-US" w:eastAsia="zh-CN"/>
        </w:rPr>
      </w:pPr>
      <w:r>
        <w:rPr>
          <w:rFonts w:hint="eastAsia" w:ascii="宋体"/>
          <w:b w:val="0"/>
          <w:bCs w:val="0"/>
          <w:color w:val="000000"/>
          <w:sz w:val="21"/>
          <w:szCs w:val="21"/>
          <w:lang w:val="en-US" w:eastAsia="zh-CN"/>
        </w:rPr>
        <w:t>1</w:t>
      </w:r>
      <w:r>
        <w:rPr>
          <w:rFonts w:hint="default" w:ascii="宋体"/>
          <w:b w:val="0"/>
          <w:bCs w:val="0"/>
          <w:color w:val="000000"/>
          <w:sz w:val="21"/>
          <w:szCs w:val="21"/>
          <w:lang w:val="en-US" w:eastAsia="zh-CN"/>
        </w:rPr>
        <w:t>、割灌除草</w:t>
      </w:r>
      <w:bookmarkEnd w:id="121"/>
    </w:p>
    <w:p w14:paraId="4541FC6F">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b w:val="0"/>
          <w:bCs w:val="0"/>
          <w:color w:val="000000"/>
          <w:sz w:val="21"/>
          <w:szCs w:val="21"/>
          <w:lang w:val="en-US" w:eastAsia="zh-CN"/>
        </w:rPr>
      </w:pPr>
      <w:bookmarkStart w:id="123" w:name="_Toc5372"/>
      <w:bookmarkStart w:id="124" w:name="_Toc12441"/>
      <w:bookmarkStart w:id="125" w:name="_Toc21180"/>
      <w:r>
        <w:rPr>
          <w:rFonts w:hint="eastAsia" w:ascii="宋体"/>
          <w:b w:val="0"/>
          <w:bCs w:val="0"/>
          <w:color w:val="000000"/>
          <w:sz w:val="21"/>
          <w:szCs w:val="21"/>
          <w:lang w:val="en-US" w:eastAsia="zh-CN"/>
        </w:rPr>
        <w:t>采用块状除草方式，以植株为中心，清除植株半径≥1.0m范围内妨碍幼树生长的杂草。</w:t>
      </w:r>
    </w:p>
    <w:p w14:paraId="0A74AB98">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b w:val="0"/>
          <w:bCs w:val="0"/>
          <w:color w:val="000000"/>
          <w:sz w:val="21"/>
          <w:szCs w:val="21"/>
          <w:lang w:val="en-US" w:eastAsia="zh-CN"/>
        </w:rPr>
      </w:pPr>
      <w:r>
        <w:rPr>
          <w:rFonts w:hint="eastAsia" w:ascii="宋体"/>
          <w:b w:val="0"/>
          <w:bCs w:val="0"/>
          <w:color w:val="000000"/>
          <w:sz w:val="21"/>
          <w:szCs w:val="21"/>
          <w:lang w:val="en-US" w:eastAsia="zh-CN"/>
        </w:rPr>
        <w:t>割除影响目的树种幼苗幼树生长的杂灌杂草和藤本植物全部。割灌除草过程中需重点保护珍稀濒危植物及国家重点保护树种、林窗处的幼树幼苗以及林下有生长潜力的幼树幼苗。</w:t>
      </w:r>
    </w:p>
    <w:bookmarkEnd w:id="123"/>
    <w:bookmarkEnd w:id="124"/>
    <w:bookmarkEnd w:id="125"/>
    <w:p w14:paraId="51D93A98">
      <w:pPr>
        <w:keepNext w:val="0"/>
        <w:keepLines w:val="0"/>
        <w:pageBreakBefore w:val="0"/>
        <w:widowControl/>
        <w:numPr>
          <w:ilvl w:val="0"/>
          <w:numId w:val="0"/>
        </w:numPr>
        <w:kinsoku/>
        <w:wordWrap/>
        <w:overflowPunct/>
        <w:topLinePunct w:val="0"/>
        <w:autoSpaceDE/>
        <w:autoSpaceDN/>
        <w:bidi w:val="0"/>
        <w:adjustRightInd/>
        <w:snapToGrid/>
        <w:spacing w:line="360" w:lineRule="auto"/>
        <w:textAlignment w:val="auto"/>
        <w:rPr>
          <w:rFonts w:hint="default" w:ascii="宋体"/>
          <w:b w:val="0"/>
          <w:bCs w:val="0"/>
          <w:color w:val="000000"/>
          <w:sz w:val="21"/>
          <w:szCs w:val="21"/>
          <w:lang w:val="en-US" w:eastAsia="zh-CN"/>
        </w:rPr>
      </w:pPr>
      <w:r>
        <w:rPr>
          <w:rFonts w:hint="eastAsia" w:ascii="宋体"/>
          <w:b w:val="0"/>
          <w:bCs w:val="0"/>
          <w:color w:val="000000"/>
          <w:sz w:val="21"/>
          <w:szCs w:val="21"/>
          <w:lang w:val="en-US" w:eastAsia="zh-CN"/>
        </w:rPr>
        <w:t>2</w:t>
      </w:r>
      <w:r>
        <w:rPr>
          <w:rFonts w:hint="default" w:ascii="宋体"/>
          <w:b w:val="0"/>
          <w:bCs w:val="0"/>
          <w:color w:val="000000"/>
          <w:sz w:val="21"/>
          <w:szCs w:val="21"/>
          <w:lang w:val="en-US" w:eastAsia="zh-CN"/>
        </w:rPr>
        <w:t>、追肥</w:t>
      </w:r>
    </w:p>
    <w:p w14:paraId="58FFA161">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eastAsia="宋体"/>
          <w:b w:val="0"/>
          <w:bCs w:val="0"/>
          <w:color w:val="000000"/>
          <w:sz w:val="21"/>
          <w:szCs w:val="21"/>
          <w:lang w:val="en-US" w:eastAsia="zh-CN"/>
        </w:rPr>
      </w:pPr>
      <w:bookmarkStart w:id="126" w:name="_Toc14753"/>
      <w:r>
        <w:rPr>
          <w:rFonts w:hint="default" w:ascii="宋体" w:eastAsia="宋体"/>
          <w:b w:val="0"/>
          <w:bCs w:val="0"/>
          <w:color w:val="000000"/>
          <w:sz w:val="21"/>
          <w:szCs w:val="21"/>
          <w:lang w:val="en-US" w:eastAsia="zh-CN"/>
        </w:rPr>
        <w:t>采用沟状埋施，施肥沟位于幼树树冠投影外沿的上坡处，沟深0.2m、宽0.2m，将肥料撒入后覆土。肥料采用氮磷钾有效含量</w:t>
      </w:r>
      <w:r>
        <w:rPr>
          <w:rFonts w:hint="eastAsia" w:ascii="宋体" w:eastAsia="宋体"/>
          <w:b w:val="0"/>
          <w:bCs w:val="0"/>
          <w:color w:val="000000"/>
          <w:sz w:val="21"/>
          <w:szCs w:val="21"/>
          <w:lang w:val="en-US" w:eastAsia="zh-CN"/>
        </w:rPr>
        <w:t>45</w:t>
      </w:r>
      <w:r>
        <w:rPr>
          <w:rFonts w:hint="default" w:ascii="宋体" w:eastAsia="宋体"/>
          <w:b w:val="0"/>
          <w:bCs w:val="0"/>
          <w:color w:val="000000"/>
          <w:sz w:val="21"/>
          <w:szCs w:val="21"/>
          <w:lang w:val="en-US" w:eastAsia="zh-CN"/>
        </w:rPr>
        <w:t>%以上的复合肥，每株幼树施放复合肥0.</w:t>
      </w:r>
      <w:r>
        <w:rPr>
          <w:rFonts w:hint="eastAsia" w:ascii="宋体" w:eastAsia="宋体"/>
          <w:b w:val="0"/>
          <w:bCs w:val="0"/>
          <w:color w:val="000000"/>
          <w:sz w:val="21"/>
          <w:szCs w:val="21"/>
          <w:lang w:val="en-US" w:eastAsia="zh-CN"/>
        </w:rPr>
        <w:t>25</w:t>
      </w:r>
      <w:r>
        <w:rPr>
          <w:rFonts w:hint="default" w:ascii="宋体" w:eastAsia="宋体"/>
          <w:b w:val="0"/>
          <w:bCs w:val="0"/>
          <w:color w:val="000000"/>
          <w:sz w:val="21"/>
          <w:szCs w:val="21"/>
          <w:lang w:val="en-US" w:eastAsia="zh-CN"/>
        </w:rPr>
        <w:t>kg。在苗木四周回填细土压实，回土厚度以埋超苗木营养土6～8cm为宜，浇灌足水。回填细土压实后再回填松土，呈反倾斜“土蔸状”，以利于保水保湿。为保护林地生态环境，防止火灾出现，要及时将废弃的肥料袋清理出林地。</w:t>
      </w:r>
    </w:p>
    <w:p w14:paraId="391F1C76">
      <w:pPr>
        <w:keepNext w:val="0"/>
        <w:keepLines w:val="0"/>
        <w:pageBreakBefore w:val="0"/>
        <w:widowControl/>
        <w:numPr>
          <w:ilvl w:val="0"/>
          <w:numId w:val="0"/>
        </w:numPr>
        <w:kinsoku/>
        <w:wordWrap/>
        <w:overflowPunct/>
        <w:topLinePunct w:val="0"/>
        <w:autoSpaceDE/>
        <w:autoSpaceDN/>
        <w:bidi w:val="0"/>
        <w:adjustRightInd/>
        <w:snapToGrid/>
        <w:spacing w:line="360" w:lineRule="auto"/>
        <w:textAlignment w:val="auto"/>
        <w:rPr>
          <w:rFonts w:hint="default" w:ascii="宋体"/>
          <w:b w:val="0"/>
          <w:bCs w:val="0"/>
          <w:color w:val="000000"/>
          <w:sz w:val="21"/>
          <w:szCs w:val="21"/>
          <w:lang w:val="en-US" w:eastAsia="zh-CN"/>
        </w:rPr>
      </w:pPr>
      <w:r>
        <w:rPr>
          <w:rFonts w:hint="eastAsia" w:ascii="宋体"/>
          <w:b w:val="0"/>
          <w:bCs w:val="0"/>
          <w:color w:val="000000"/>
          <w:sz w:val="21"/>
          <w:szCs w:val="21"/>
          <w:lang w:val="en-US" w:eastAsia="zh-CN"/>
        </w:rPr>
        <w:t>4</w:t>
      </w:r>
      <w:r>
        <w:rPr>
          <w:rFonts w:hint="default" w:ascii="宋体"/>
          <w:b w:val="0"/>
          <w:bCs w:val="0"/>
          <w:color w:val="000000"/>
          <w:sz w:val="21"/>
          <w:szCs w:val="21"/>
          <w:lang w:val="en-US" w:eastAsia="zh-CN"/>
        </w:rPr>
        <w:t>、培土</w:t>
      </w:r>
      <w:bookmarkEnd w:id="126"/>
    </w:p>
    <w:p w14:paraId="02E18F7F">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b w:val="0"/>
          <w:bCs w:val="0"/>
          <w:color w:val="000000"/>
          <w:sz w:val="21"/>
          <w:szCs w:val="21"/>
          <w:lang w:val="en-US" w:eastAsia="zh-CN"/>
        </w:rPr>
      </w:pPr>
      <w:r>
        <w:rPr>
          <w:rFonts w:hint="default" w:ascii="宋体"/>
          <w:b w:val="0"/>
          <w:bCs w:val="0"/>
          <w:color w:val="000000"/>
          <w:sz w:val="21"/>
          <w:szCs w:val="21"/>
          <w:lang w:val="en-US" w:eastAsia="zh-CN"/>
        </w:rPr>
        <w:t>追肥后进行培土，将幼树周边土壤回覆形成半径0.</w:t>
      </w:r>
      <w:r>
        <w:rPr>
          <w:rFonts w:hint="eastAsia" w:ascii="宋体"/>
          <w:b w:val="0"/>
          <w:bCs w:val="0"/>
          <w:color w:val="000000"/>
          <w:sz w:val="21"/>
          <w:szCs w:val="21"/>
          <w:lang w:val="en-US" w:eastAsia="zh-CN"/>
        </w:rPr>
        <w:t>5</w:t>
      </w:r>
      <w:r>
        <w:rPr>
          <w:rFonts w:hint="default" w:ascii="宋体"/>
          <w:b w:val="0"/>
          <w:bCs w:val="0"/>
          <w:color w:val="000000"/>
          <w:sz w:val="21"/>
          <w:szCs w:val="21"/>
          <w:lang w:val="en-US" w:eastAsia="zh-CN"/>
        </w:rPr>
        <w:t>米的圆形平台，以防肥料流失。</w:t>
      </w:r>
    </w:p>
    <w:p w14:paraId="69B490F5">
      <w:pPr>
        <w:keepNext w:val="0"/>
        <w:keepLines w:val="0"/>
        <w:pageBreakBefore w:val="0"/>
        <w:widowControl/>
        <w:numPr>
          <w:ilvl w:val="0"/>
          <w:numId w:val="0"/>
        </w:numPr>
        <w:kinsoku/>
        <w:wordWrap/>
        <w:overflowPunct/>
        <w:topLinePunct w:val="0"/>
        <w:autoSpaceDE/>
        <w:autoSpaceDN/>
        <w:bidi w:val="0"/>
        <w:adjustRightInd/>
        <w:snapToGrid/>
        <w:spacing w:line="360" w:lineRule="auto"/>
        <w:textAlignment w:val="auto"/>
        <w:rPr>
          <w:rFonts w:hint="default" w:ascii="宋体"/>
          <w:b w:val="0"/>
          <w:bCs w:val="0"/>
          <w:color w:val="000000"/>
          <w:sz w:val="21"/>
          <w:szCs w:val="21"/>
          <w:lang w:val="en-US" w:eastAsia="zh-CN"/>
        </w:rPr>
      </w:pPr>
      <w:bookmarkStart w:id="127" w:name="_Toc4861"/>
      <w:r>
        <w:rPr>
          <w:rFonts w:hint="eastAsia" w:ascii="宋体"/>
          <w:b w:val="0"/>
          <w:bCs w:val="0"/>
          <w:color w:val="000000"/>
          <w:sz w:val="21"/>
          <w:szCs w:val="21"/>
          <w:lang w:val="en-US" w:eastAsia="zh-CN"/>
        </w:rPr>
        <w:t>5</w:t>
      </w:r>
      <w:r>
        <w:rPr>
          <w:rFonts w:hint="default" w:ascii="宋体"/>
          <w:b w:val="0"/>
          <w:bCs w:val="0"/>
          <w:color w:val="000000"/>
          <w:sz w:val="21"/>
          <w:szCs w:val="21"/>
          <w:lang w:val="en-US" w:eastAsia="zh-CN"/>
        </w:rPr>
        <w:t>、补植</w:t>
      </w:r>
      <w:bookmarkEnd w:id="127"/>
    </w:p>
    <w:bookmarkEnd w:id="122"/>
    <w:p w14:paraId="7C74CA72">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eastAsia="宋体"/>
          <w:b w:val="0"/>
          <w:bCs w:val="0"/>
          <w:color w:val="000000"/>
          <w:sz w:val="21"/>
          <w:szCs w:val="21"/>
          <w:lang w:val="en-US" w:eastAsia="zh-CN"/>
        </w:rPr>
      </w:pPr>
      <w:bookmarkStart w:id="128" w:name="_Toc31754"/>
      <w:bookmarkStart w:id="129" w:name="_Toc2359"/>
      <w:bookmarkStart w:id="130" w:name="_Toc32261"/>
      <w:bookmarkStart w:id="131" w:name="_Toc15089"/>
      <w:bookmarkStart w:id="132" w:name="_Toc9796"/>
      <w:bookmarkStart w:id="133" w:name="_Toc10388"/>
      <w:bookmarkStart w:id="134" w:name="_Toc11300"/>
      <w:bookmarkStart w:id="135" w:name="_Toc6897"/>
      <w:bookmarkStart w:id="136" w:name="_Toc10471"/>
      <w:bookmarkStart w:id="137" w:name="_Toc18781"/>
      <w:r>
        <w:rPr>
          <w:rFonts w:hint="default" w:ascii="宋体" w:eastAsia="宋体"/>
          <w:b w:val="0"/>
          <w:bCs w:val="0"/>
          <w:color w:val="000000"/>
          <w:sz w:val="21"/>
          <w:szCs w:val="21"/>
          <w:lang w:val="en-US" w:eastAsia="zh-CN"/>
        </w:rPr>
        <w:t>补植的对象是幼苗幼树保存率小于85%的林地。需要补植的小班为1-6号小班，详细补植株数详见附表1和附表2。</w:t>
      </w:r>
    </w:p>
    <w:p w14:paraId="11B02B57">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eastAsia="宋体"/>
          <w:b w:val="0"/>
          <w:bCs w:val="0"/>
          <w:color w:val="000000"/>
          <w:sz w:val="21"/>
          <w:szCs w:val="21"/>
          <w:lang w:val="en-US" w:eastAsia="zh-CN"/>
        </w:rPr>
      </w:pPr>
      <w:r>
        <w:rPr>
          <w:rFonts w:hint="default" w:ascii="宋体" w:eastAsia="宋体"/>
          <w:b w:val="0"/>
          <w:bCs w:val="0"/>
          <w:color w:val="000000"/>
          <w:sz w:val="21"/>
          <w:szCs w:val="21"/>
          <w:lang w:val="en-US" w:eastAsia="zh-CN"/>
        </w:rPr>
        <w:t>补植采用明穴整地，植穴规格为50×50×40cm，并且每穴施放0.5kg 复合肥（NPK≥45%）作为基肥。为确保补植苗木的成活率，补植最好在透雨后的阴雨天进行，补植时先在植穴中央挖一个比苗木泥头稍大稍深的栽植孔，挖穴时应尽量不破坏原有的林下植被，尽可能减少对土壤的扰动，扯去营养袋后带土轻放于栽植孔中，扶正苗木并在苗木四周回细土，轻提苗后压实，使苗木与原土紧密接触，继续回土至穴面，压实后再回松土成馒头状，以减少水分蒸发。补植完成后确保补植作业小班的保存率达到85%。</w:t>
      </w:r>
    </w:p>
    <w:p w14:paraId="71AD698C">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eastAsia="宋体"/>
          <w:b w:val="0"/>
          <w:bCs w:val="0"/>
          <w:color w:val="000000"/>
          <w:sz w:val="21"/>
          <w:szCs w:val="21"/>
          <w:lang w:val="en-US" w:eastAsia="zh-CN"/>
        </w:rPr>
      </w:pPr>
      <w:r>
        <w:rPr>
          <w:rFonts w:hint="default" w:ascii="宋体" w:eastAsia="宋体"/>
          <w:b w:val="0"/>
          <w:bCs w:val="0"/>
          <w:color w:val="000000"/>
          <w:sz w:val="21"/>
          <w:szCs w:val="21"/>
          <w:lang w:val="en-US" w:eastAsia="zh-CN"/>
        </w:rPr>
        <w:t>本项目抚育补植树种为木麻黄，苗木选用省一级以上标准的苗木种植，具体标准为：1.5年生以上、苗高65cm以上、地径0.65cm以上抗逆性好的实生苗。苗木必须具有“两证一签”，禁止使用无证、来源不清、带病虫害的不合格苗上山造林。</w:t>
      </w:r>
    </w:p>
    <w:p w14:paraId="50D5B75E">
      <w:pPr>
        <w:keepNext w:val="0"/>
        <w:keepLines w:val="0"/>
        <w:pageBreakBefore w:val="0"/>
        <w:widowControl/>
        <w:numPr>
          <w:ilvl w:val="0"/>
          <w:numId w:val="0"/>
        </w:numPr>
        <w:kinsoku/>
        <w:wordWrap/>
        <w:overflowPunct/>
        <w:topLinePunct w:val="0"/>
        <w:autoSpaceDE/>
        <w:autoSpaceDN/>
        <w:bidi w:val="0"/>
        <w:adjustRightInd/>
        <w:snapToGrid/>
        <w:spacing w:line="360" w:lineRule="auto"/>
        <w:textAlignment w:val="auto"/>
        <w:rPr>
          <w:rFonts w:hint="default" w:ascii="宋体"/>
          <w:b/>
          <w:bCs/>
          <w:color w:val="000000"/>
          <w:sz w:val="21"/>
          <w:szCs w:val="21"/>
          <w:lang w:val="en-US" w:eastAsia="zh-CN"/>
        </w:rPr>
      </w:pPr>
      <w:r>
        <w:rPr>
          <w:rFonts w:hint="default" w:ascii="宋体"/>
          <w:b/>
          <w:bCs/>
          <w:color w:val="000000"/>
          <w:sz w:val="21"/>
          <w:szCs w:val="21"/>
          <w:lang w:val="en-US" w:eastAsia="zh-CN"/>
        </w:rPr>
        <w:t>七</w:t>
      </w:r>
      <w:r>
        <w:rPr>
          <w:rFonts w:hint="eastAsia" w:ascii="宋体"/>
          <w:b/>
          <w:bCs/>
          <w:color w:val="000000"/>
          <w:sz w:val="21"/>
          <w:szCs w:val="21"/>
          <w:lang w:val="en-US" w:eastAsia="zh-CN"/>
        </w:rPr>
        <w:t>、</w:t>
      </w:r>
      <w:r>
        <w:rPr>
          <w:rFonts w:hint="default" w:ascii="宋体"/>
          <w:b/>
          <w:bCs/>
          <w:color w:val="000000"/>
          <w:sz w:val="21"/>
          <w:szCs w:val="21"/>
          <w:lang w:val="en-US" w:eastAsia="zh-CN"/>
        </w:rPr>
        <w:t>工程量与物资需要量</w:t>
      </w:r>
      <w:bookmarkEnd w:id="128"/>
      <w:bookmarkEnd w:id="129"/>
      <w:bookmarkEnd w:id="130"/>
      <w:bookmarkEnd w:id="131"/>
      <w:bookmarkEnd w:id="132"/>
    </w:p>
    <w:p w14:paraId="4271B10C">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b w:val="0"/>
          <w:bCs w:val="0"/>
          <w:color w:val="000000"/>
          <w:sz w:val="21"/>
          <w:szCs w:val="21"/>
          <w:lang w:val="en-US" w:eastAsia="zh-CN"/>
        </w:rPr>
      </w:pPr>
      <w:bookmarkStart w:id="138" w:name="_Toc30485"/>
      <w:bookmarkStart w:id="139" w:name="_Toc24257"/>
      <w:bookmarkStart w:id="140" w:name="_Toc16745"/>
      <w:bookmarkStart w:id="141" w:name="_Toc28023"/>
      <w:bookmarkStart w:id="142" w:name="_Toc17413"/>
      <w:bookmarkStart w:id="143" w:name="_Toc16171"/>
      <w:bookmarkStart w:id="144" w:name="_Toc31373"/>
      <w:bookmarkStart w:id="145" w:name="_Toc26855"/>
      <w:bookmarkStart w:id="146" w:name="_Toc9093"/>
      <w:r>
        <w:rPr>
          <w:rFonts w:hint="eastAsia" w:ascii="宋体"/>
          <w:b w:val="0"/>
          <w:bCs w:val="0"/>
          <w:color w:val="000000"/>
          <w:sz w:val="21"/>
          <w:szCs w:val="21"/>
          <w:lang w:val="en-US" w:eastAsia="zh-CN"/>
        </w:rPr>
        <w:t>1</w:t>
      </w:r>
      <w:r>
        <w:rPr>
          <w:rFonts w:hint="default" w:ascii="宋体"/>
          <w:b w:val="0"/>
          <w:bCs w:val="0"/>
          <w:color w:val="000000"/>
          <w:sz w:val="21"/>
          <w:szCs w:val="21"/>
          <w:lang w:val="en-US" w:eastAsia="zh-CN"/>
        </w:rPr>
        <w:t>、工程量</w:t>
      </w:r>
      <w:bookmarkEnd w:id="138"/>
      <w:bookmarkEnd w:id="139"/>
      <w:bookmarkEnd w:id="140"/>
      <w:bookmarkEnd w:id="141"/>
      <w:bookmarkEnd w:id="142"/>
      <w:bookmarkEnd w:id="143"/>
      <w:bookmarkEnd w:id="144"/>
      <w:bookmarkEnd w:id="145"/>
      <w:bookmarkEnd w:id="146"/>
    </w:p>
    <w:p w14:paraId="1C5ACB07">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eastAsia="宋体"/>
          <w:b w:val="0"/>
          <w:bCs w:val="0"/>
          <w:color w:val="000000"/>
          <w:sz w:val="21"/>
          <w:szCs w:val="21"/>
          <w:lang w:val="en-US" w:eastAsia="zh-CN"/>
        </w:rPr>
      </w:pPr>
      <w:bookmarkStart w:id="147" w:name="_Toc16982"/>
      <w:bookmarkStart w:id="148" w:name="_Toc18067"/>
      <w:bookmarkStart w:id="149" w:name="_Toc21089"/>
      <w:bookmarkStart w:id="150" w:name="_Toc29027"/>
      <w:bookmarkStart w:id="151" w:name="_Toc12309"/>
      <w:bookmarkStart w:id="152" w:name="_Toc13737"/>
      <w:bookmarkStart w:id="153" w:name="_Toc7163"/>
      <w:bookmarkStart w:id="154" w:name="_Toc818"/>
      <w:bookmarkStart w:id="155" w:name="_Toc19609"/>
      <w:r>
        <w:rPr>
          <w:rFonts w:hint="eastAsia" w:ascii="宋体" w:eastAsia="宋体"/>
          <w:b w:val="0"/>
          <w:bCs w:val="0"/>
          <w:color w:val="000000"/>
          <w:sz w:val="21"/>
          <w:szCs w:val="21"/>
          <w:lang w:val="en-US" w:eastAsia="zh-CN"/>
        </w:rPr>
        <w:t>湛江经济技术开发区2026年森林质量精准提升（新造林抚育）项目</w:t>
      </w:r>
      <w:r>
        <w:rPr>
          <w:rFonts w:hint="default" w:ascii="宋体" w:eastAsia="宋体"/>
          <w:b w:val="0"/>
          <w:bCs w:val="0"/>
          <w:color w:val="000000"/>
          <w:sz w:val="21"/>
          <w:szCs w:val="21"/>
          <w:lang w:val="en-US" w:eastAsia="zh-CN"/>
        </w:rPr>
        <w:t>规划设计面积为</w:t>
      </w:r>
      <w:r>
        <w:rPr>
          <w:rFonts w:hint="eastAsia" w:ascii="宋体" w:eastAsia="宋体"/>
          <w:b w:val="0"/>
          <w:bCs w:val="0"/>
          <w:color w:val="000000"/>
          <w:sz w:val="21"/>
          <w:szCs w:val="21"/>
          <w:lang w:val="en-US" w:eastAsia="zh-CN"/>
        </w:rPr>
        <w:t>3</w:t>
      </w:r>
      <w:r>
        <w:rPr>
          <w:rFonts w:hint="default" w:ascii="宋体" w:eastAsia="宋体"/>
          <w:b w:val="0"/>
          <w:bCs w:val="0"/>
          <w:color w:val="000000"/>
          <w:sz w:val="21"/>
          <w:szCs w:val="21"/>
          <w:lang w:val="en-US" w:eastAsia="zh-CN"/>
        </w:rPr>
        <w:t>20亩。具体详见下表7-1。</w:t>
      </w:r>
    </w:p>
    <w:p w14:paraId="3FF72153">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eastAsia="宋体"/>
          <w:b w:val="0"/>
          <w:bCs w:val="0"/>
          <w:color w:val="000000"/>
          <w:sz w:val="21"/>
          <w:szCs w:val="21"/>
          <w:lang w:val="en-US" w:eastAsia="zh-CN"/>
        </w:rPr>
      </w:pPr>
      <w:r>
        <w:rPr>
          <w:rFonts w:hint="default" w:ascii="宋体" w:eastAsia="宋体"/>
          <w:b w:val="0"/>
          <w:bCs w:val="0"/>
          <w:color w:val="000000"/>
          <w:sz w:val="21"/>
          <w:szCs w:val="21"/>
          <w:lang w:val="en-US" w:eastAsia="zh-CN"/>
        </w:rPr>
        <w:t>表7-1 工程量统计表</w:t>
      </w:r>
    </w:p>
    <w:tbl>
      <w:tblPr>
        <w:tblStyle w:val="5"/>
        <w:tblW w:w="84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22"/>
        <w:gridCol w:w="3227"/>
        <w:gridCol w:w="3170"/>
      </w:tblGrid>
      <w:tr w14:paraId="4CECC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022" w:type="dxa"/>
            <w:vMerge w:val="restart"/>
            <w:shd w:val="clear" w:color="auto" w:fill="BEBEBE"/>
            <w:noWrap w:val="0"/>
            <w:vAlign w:val="center"/>
          </w:tcPr>
          <w:p w14:paraId="48C8920F">
            <w:pPr>
              <w:widowControl w:val="0"/>
              <w:bidi w:val="0"/>
              <w:jc w:val="center"/>
              <w:rPr>
                <w:rFonts w:hint="default" w:ascii="Times New Roman" w:hAnsi="Times New Roman" w:eastAsia="仿宋" w:cs="Times New Roman"/>
                <w:b/>
                <w:bCs/>
                <w:color w:val="auto"/>
                <w:sz w:val="22"/>
                <w:szCs w:val="22"/>
                <w:highlight w:val="none"/>
                <w:lang w:val="en-US" w:eastAsia="zh-CN"/>
              </w:rPr>
            </w:pPr>
            <w:r>
              <w:rPr>
                <w:rFonts w:hint="default" w:ascii="Times New Roman" w:hAnsi="Times New Roman" w:eastAsia="仿宋" w:cs="Times New Roman"/>
                <w:b/>
                <w:bCs/>
                <w:color w:val="auto"/>
                <w:sz w:val="22"/>
                <w:szCs w:val="22"/>
                <w:highlight w:val="none"/>
                <w:lang w:val="en-US" w:eastAsia="zh-CN"/>
              </w:rPr>
              <w:t>提升方式</w:t>
            </w:r>
          </w:p>
        </w:tc>
        <w:tc>
          <w:tcPr>
            <w:tcW w:w="3227" w:type="dxa"/>
            <w:vMerge w:val="restart"/>
            <w:shd w:val="clear" w:color="auto" w:fill="BEBEBE"/>
            <w:noWrap w:val="0"/>
            <w:vAlign w:val="center"/>
          </w:tcPr>
          <w:p w14:paraId="28DC1808">
            <w:pPr>
              <w:widowControl w:val="0"/>
              <w:bidi w:val="0"/>
              <w:jc w:val="center"/>
              <w:rPr>
                <w:rFonts w:hint="default" w:ascii="Times New Roman" w:hAnsi="Times New Roman" w:eastAsia="仿宋" w:cs="Times New Roman"/>
                <w:b/>
                <w:bCs/>
                <w:color w:val="auto"/>
                <w:sz w:val="22"/>
                <w:szCs w:val="22"/>
                <w:highlight w:val="none"/>
                <w:lang w:val="en-US" w:eastAsia="zh-CN"/>
              </w:rPr>
            </w:pPr>
            <w:r>
              <w:rPr>
                <w:rFonts w:hint="default" w:ascii="Times New Roman" w:hAnsi="Times New Roman" w:eastAsia="仿宋" w:cs="Times New Roman"/>
                <w:b/>
                <w:bCs/>
                <w:color w:val="auto"/>
                <w:sz w:val="22"/>
                <w:szCs w:val="22"/>
                <w:highlight w:val="none"/>
                <w:lang w:val="en-US" w:eastAsia="zh-CN"/>
              </w:rPr>
              <w:t>作业类型</w:t>
            </w:r>
          </w:p>
        </w:tc>
        <w:tc>
          <w:tcPr>
            <w:tcW w:w="3170" w:type="dxa"/>
            <w:vMerge w:val="restart"/>
            <w:shd w:val="clear" w:color="auto" w:fill="BEBEBE"/>
            <w:noWrap w:val="0"/>
            <w:vAlign w:val="center"/>
          </w:tcPr>
          <w:p w14:paraId="46DC71BD">
            <w:pPr>
              <w:widowControl w:val="0"/>
              <w:bidi w:val="0"/>
              <w:jc w:val="center"/>
              <w:rPr>
                <w:rFonts w:hint="default" w:ascii="Times New Roman" w:hAnsi="Times New Roman" w:eastAsia="仿宋" w:cs="Times New Roman"/>
                <w:b/>
                <w:bCs/>
                <w:color w:val="auto"/>
                <w:sz w:val="22"/>
                <w:szCs w:val="22"/>
                <w:highlight w:val="none"/>
                <w:lang w:val="en-US" w:eastAsia="zh-CN"/>
              </w:rPr>
            </w:pPr>
            <w:r>
              <w:rPr>
                <w:rFonts w:hint="default" w:ascii="Times New Roman" w:hAnsi="Times New Roman" w:eastAsia="仿宋" w:cs="Times New Roman"/>
                <w:b/>
                <w:bCs/>
                <w:color w:val="auto"/>
                <w:sz w:val="22"/>
                <w:szCs w:val="22"/>
                <w:highlight w:val="none"/>
                <w:lang w:val="en-US" w:eastAsia="zh-CN"/>
              </w:rPr>
              <w:t>面积（亩）</w:t>
            </w:r>
          </w:p>
        </w:tc>
      </w:tr>
      <w:tr w14:paraId="16C93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022" w:type="dxa"/>
            <w:vMerge w:val="continue"/>
            <w:shd w:val="clear" w:color="auto" w:fill="BEBEBE"/>
            <w:noWrap w:val="0"/>
            <w:vAlign w:val="center"/>
          </w:tcPr>
          <w:p w14:paraId="6C7DBCA2">
            <w:pPr>
              <w:widowControl w:val="0"/>
              <w:bidi w:val="0"/>
              <w:jc w:val="center"/>
              <w:rPr>
                <w:rFonts w:hint="default" w:ascii="Times New Roman" w:hAnsi="Times New Roman" w:eastAsia="仿宋" w:cs="Times New Roman"/>
                <w:color w:val="auto"/>
                <w:sz w:val="22"/>
                <w:szCs w:val="22"/>
                <w:highlight w:val="none"/>
                <w:lang w:val="en-US" w:eastAsia="zh-CN"/>
              </w:rPr>
            </w:pPr>
          </w:p>
        </w:tc>
        <w:tc>
          <w:tcPr>
            <w:tcW w:w="3227" w:type="dxa"/>
            <w:vMerge w:val="continue"/>
            <w:shd w:val="clear" w:color="auto" w:fill="BEBEBE"/>
            <w:noWrap w:val="0"/>
            <w:vAlign w:val="center"/>
          </w:tcPr>
          <w:p w14:paraId="542210E2">
            <w:pPr>
              <w:widowControl w:val="0"/>
              <w:bidi w:val="0"/>
              <w:jc w:val="center"/>
              <w:rPr>
                <w:rFonts w:hint="default" w:ascii="Times New Roman" w:hAnsi="Times New Roman" w:eastAsia="仿宋" w:cs="Times New Roman"/>
                <w:color w:val="auto"/>
                <w:sz w:val="22"/>
                <w:szCs w:val="22"/>
                <w:highlight w:val="none"/>
                <w:lang w:val="en-US" w:eastAsia="zh-CN"/>
              </w:rPr>
            </w:pPr>
          </w:p>
        </w:tc>
        <w:tc>
          <w:tcPr>
            <w:tcW w:w="3170" w:type="dxa"/>
            <w:vMerge w:val="continue"/>
            <w:shd w:val="clear" w:color="auto" w:fill="BEBEBE"/>
            <w:noWrap w:val="0"/>
            <w:vAlign w:val="center"/>
          </w:tcPr>
          <w:p w14:paraId="38130959">
            <w:pPr>
              <w:widowControl w:val="0"/>
              <w:bidi w:val="0"/>
              <w:jc w:val="center"/>
              <w:rPr>
                <w:rFonts w:hint="default" w:ascii="Times New Roman" w:hAnsi="Times New Roman" w:eastAsia="仿宋" w:cs="Times New Roman"/>
                <w:color w:val="auto"/>
                <w:sz w:val="22"/>
                <w:szCs w:val="22"/>
                <w:highlight w:val="none"/>
                <w:lang w:val="en-US" w:eastAsia="zh-CN"/>
              </w:rPr>
            </w:pPr>
          </w:p>
        </w:tc>
      </w:tr>
      <w:tr w14:paraId="42459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2022" w:type="dxa"/>
            <w:noWrap w:val="0"/>
            <w:vAlign w:val="center"/>
          </w:tcPr>
          <w:p w14:paraId="2CB013BD">
            <w:pPr>
              <w:widowControl w:val="0"/>
              <w:bidi w:val="0"/>
              <w:jc w:val="center"/>
              <w:rPr>
                <w:rFonts w:hint="default" w:ascii="Times New Roman" w:hAnsi="Times New Roman" w:eastAsia="仿宋" w:cs="Times New Roman"/>
                <w:color w:val="auto"/>
                <w:sz w:val="22"/>
                <w:szCs w:val="22"/>
                <w:highlight w:val="none"/>
                <w:lang w:val="en-US" w:eastAsia="zh-CN"/>
              </w:rPr>
            </w:pPr>
            <w:r>
              <w:rPr>
                <w:rFonts w:hint="default" w:ascii="Times New Roman" w:hAnsi="Times New Roman" w:eastAsia="仿宋" w:cs="Times New Roman"/>
                <w:color w:val="auto"/>
                <w:kern w:val="0"/>
                <w:sz w:val="22"/>
                <w:szCs w:val="22"/>
                <w:highlight w:val="none"/>
                <w:lang w:val="en-US" w:eastAsia="zh-CN"/>
              </w:rPr>
              <w:t>新造林抚育</w:t>
            </w:r>
          </w:p>
        </w:tc>
        <w:tc>
          <w:tcPr>
            <w:tcW w:w="3227" w:type="dxa"/>
            <w:noWrap w:val="0"/>
            <w:vAlign w:val="center"/>
          </w:tcPr>
          <w:p w14:paraId="2C6E4BDA">
            <w:pPr>
              <w:widowControl w:val="0"/>
              <w:bidi w:val="0"/>
              <w:jc w:val="center"/>
              <w:rPr>
                <w:rFonts w:hint="default" w:ascii="Times New Roman" w:hAnsi="Times New Roman" w:eastAsia="仿宋" w:cs="Times New Roman"/>
                <w:color w:val="auto"/>
                <w:sz w:val="22"/>
                <w:szCs w:val="22"/>
                <w:highlight w:val="none"/>
                <w:lang w:val="en-US" w:eastAsia="zh-CN"/>
              </w:rPr>
            </w:pPr>
            <w:r>
              <w:rPr>
                <w:rFonts w:hint="default" w:ascii="Times New Roman" w:hAnsi="Times New Roman" w:eastAsia="仿宋" w:cs="Times New Roman"/>
                <w:color w:val="auto"/>
                <w:kern w:val="0"/>
                <w:sz w:val="22"/>
                <w:szCs w:val="22"/>
                <w:highlight w:val="none"/>
                <w:lang w:val="en-US" w:eastAsia="zh-CN"/>
              </w:rPr>
              <w:t>新造林抚育</w:t>
            </w:r>
          </w:p>
        </w:tc>
        <w:tc>
          <w:tcPr>
            <w:tcW w:w="3170" w:type="dxa"/>
            <w:noWrap w:val="0"/>
            <w:vAlign w:val="center"/>
          </w:tcPr>
          <w:p w14:paraId="746BDF2B">
            <w:pPr>
              <w:widowControl/>
              <w:jc w:val="center"/>
              <w:rPr>
                <w:rFonts w:hint="default" w:ascii="Times New Roman" w:hAnsi="Times New Roman" w:eastAsia="仿宋" w:cs="Times New Roman"/>
                <w:color w:val="auto"/>
                <w:sz w:val="22"/>
                <w:szCs w:val="22"/>
                <w:highlight w:val="none"/>
                <w:lang w:val="en-US" w:eastAsia="zh-CN"/>
              </w:rPr>
            </w:pPr>
            <w:r>
              <w:rPr>
                <w:rFonts w:hint="eastAsia" w:ascii="Times New Roman" w:hAnsi="Times New Roman" w:eastAsia="仿宋" w:cs="Times New Roman"/>
                <w:color w:val="auto"/>
                <w:kern w:val="0"/>
                <w:sz w:val="22"/>
                <w:szCs w:val="22"/>
                <w:highlight w:val="none"/>
                <w:lang w:val="en-US" w:eastAsia="zh-CN"/>
              </w:rPr>
              <w:t>3</w:t>
            </w:r>
            <w:r>
              <w:rPr>
                <w:rFonts w:hint="default" w:ascii="Times New Roman" w:hAnsi="Times New Roman" w:eastAsia="仿宋" w:cs="Times New Roman"/>
                <w:color w:val="auto"/>
                <w:kern w:val="0"/>
                <w:sz w:val="22"/>
                <w:szCs w:val="22"/>
                <w:highlight w:val="none"/>
                <w:lang w:val="en-US" w:eastAsia="zh-CN"/>
              </w:rPr>
              <w:t>20</w:t>
            </w:r>
          </w:p>
        </w:tc>
      </w:tr>
    </w:tbl>
    <w:p w14:paraId="1C158B00">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b w:val="0"/>
          <w:bCs w:val="0"/>
          <w:color w:val="000000"/>
          <w:sz w:val="21"/>
          <w:szCs w:val="21"/>
          <w:lang w:val="en-US" w:eastAsia="zh-CN"/>
        </w:rPr>
      </w:pPr>
      <w:r>
        <w:rPr>
          <w:rFonts w:hint="eastAsia" w:ascii="宋体"/>
          <w:b w:val="0"/>
          <w:bCs w:val="0"/>
          <w:color w:val="000000"/>
          <w:sz w:val="21"/>
          <w:szCs w:val="21"/>
          <w:lang w:val="en-US" w:eastAsia="zh-CN"/>
        </w:rPr>
        <w:t>2</w:t>
      </w:r>
      <w:r>
        <w:rPr>
          <w:rFonts w:hint="default" w:ascii="宋体"/>
          <w:b w:val="0"/>
          <w:bCs w:val="0"/>
          <w:color w:val="000000"/>
          <w:sz w:val="21"/>
          <w:szCs w:val="21"/>
          <w:lang w:val="en-US" w:eastAsia="zh-CN"/>
        </w:rPr>
        <w:t>、物资需要量</w:t>
      </w:r>
      <w:bookmarkEnd w:id="147"/>
      <w:bookmarkEnd w:id="148"/>
      <w:bookmarkEnd w:id="149"/>
      <w:bookmarkEnd w:id="150"/>
      <w:bookmarkEnd w:id="151"/>
      <w:bookmarkEnd w:id="152"/>
      <w:bookmarkEnd w:id="153"/>
      <w:bookmarkEnd w:id="154"/>
      <w:bookmarkEnd w:id="155"/>
    </w:p>
    <w:p w14:paraId="6710C964">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210" w:firstLineChars="100"/>
        <w:textAlignment w:val="auto"/>
        <w:rPr>
          <w:rFonts w:hint="default" w:ascii="宋体"/>
          <w:b w:val="0"/>
          <w:bCs w:val="0"/>
          <w:color w:val="000000"/>
          <w:sz w:val="21"/>
          <w:szCs w:val="21"/>
          <w:lang w:val="en-US" w:eastAsia="zh-CN"/>
        </w:rPr>
      </w:pPr>
      <w:r>
        <w:rPr>
          <w:rFonts w:hint="default" w:ascii="宋体"/>
          <w:b w:val="0"/>
          <w:bCs w:val="0"/>
          <w:color w:val="000000"/>
          <w:sz w:val="21"/>
          <w:szCs w:val="21"/>
          <w:lang w:val="en-US" w:eastAsia="zh-CN"/>
        </w:rPr>
        <w:t>1</w:t>
      </w:r>
      <w:r>
        <w:rPr>
          <w:rFonts w:hint="eastAsia" w:ascii="宋体"/>
          <w:b w:val="0"/>
          <w:bCs w:val="0"/>
          <w:color w:val="000000"/>
          <w:sz w:val="21"/>
          <w:szCs w:val="21"/>
          <w:lang w:val="en-US" w:eastAsia="zh-CN"/>
        </w:rPr>
        <w:t>）</w:t>
      </w:r>
      <w:r>
        <w:rPr>
          <w:rFonts w:hint="default" w:ascii="宋体"/>
          <w:b w:val="0"/>
          <w:bCs w:val="0"/>
          <w:color w:val="000000"/>
          <w:sz w:val="21"/>
          <w:szCs w:val="21"/>
          <w:lang w:val="en-US" w:eastAsia="zh-CN"/>
        </w:rPr>
        <w:t>苗木需要量</w:t>
      </w:r>
    </w:p>
    <w:p w14:paraId="6D335C05">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eastAsia="宋体"/>
          <w:b w:val="0"/>
          <w:bCs w:val="0"/>
          <w:color w:val="000000"/>
          <w:sz w:val="21"/>
          <w:szCs w:val="21"/>
          <w:lang w:val="en-US" w:eastAsia="zh-CN"/>
        </w:rPr>
      </w:pPr>
      <w:r>
        <w:rPr>
          <w:rFonts w:hint="eastAsia" w:ascii="宋体" w:eastAsia="宋体"/>
          <w:b w:val="0"/>
          <w:bCs w:val="0"/>
          <w:color w:val="000000"/>
          <w:sz w:val="21"/>
          <w:szCs w:val="21"/>
          <w:lang w:val="en-US" w:eastAsia="zh-CN"/>
        </w:rPr>
        <w:t>湛江经济技术开发区2026年森林质量精准提升（新造林抚育）项目</w:t>
      </w:r>
      <w:r>
        <w:rPr>
          <w:rFonts w:hint="default" w:ascii="宋体" w:eastAsia="宋体"/>
          <w:b w:val="0"/>
          <w:bCs w:val="0"/>
          <w:color w:val="000000"/>
          <w:sz w:val="21"/>
          <w:szCs w:val="21"/>
          <w:lang w:val="en-US" w:eastAsia="zh-CN"/>
        </w:rPr>
        <w:t>共需苗木1种，苗木总数量49</w:t>
      </w:r>
      <w:r>
        <w:rPr>
          <w:rFonts w:hint="eastAsia" w:ascii="宋体" w:eastAsia="宋体"/>
          <w:b w:val="0"/>
          <w:bCs w:val="0"/>
          <w:color w:val="000000"/>
          <w:sz w:val="21"/>
          <w:szCs w:val="21"/>
          <w:lang w:val="en-US" w:eastAsia="zh-CN"/>
        </w:rPr>
        <w:t>56</w:t>
      </w:r>
      <w:r>
        <w:rPr>
          <w:rFonts w:hint="default" w:ascii="宋体" w:eastAsia="宋体"/>
          <w:b w:val="0"/>
          <w:bCs w:val="0"/>
          <w:color w:val="000000"/>
          <w:sz w:val="21"/>
          <w:szCs w:val="21"/>
          <w:lang w:val="en-US" w:eastAsia="zh-CN"/>
        </w:rPr>
        <w:t>株（含5%损耗苗量），全部为木麻黄。具体详见下表7-2。</w:t>
      </w:r>
    </w:p>
    <w:p w14:paraId="7EBE97CD">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eastAsia="宋体"/>
          <w:b w:val="0"/>
          <w:bCs w:val="0"/>
          <w:color w:val="000000"/>
          <w:sz w:val="21"/>
          <w:szCs w:val="21"/>
          <w:lang w:val="en-US" w:eastAsia="zh-CN"/>
        </w:rPr>
      </w:pPr>
      <w:r>
        <w:rPr>
          <w:rFonts w:hint="default" w:ascii="宋体" w:eastAsia="宋体"/>
          <w:b w:val="0"/>
          <w:bCs w:val="0"/>
          <w:color w:val="000000"/>
          <w:sz w:val="21"/>
          <w:szCs w:val="21"/>
          <w:lang w:val="en-US" w:eastAsia="zh-CN"/>
        </w:rPr>
        <w:t>2</w:t>
      </w:r>
      <w:r>
        <w:rPr>
          <w:rFonts w:hint="eastAsia" w:ascii="宋体" w:eastAsia="宋体"/>
          <w:b w:val="0"/>
          <w:bCs w:val="0"/>
          <w:color w:val="000000"/>
          <w:sz w:val="21"/>
          <w:szCs w:val="21"/>
          <w:lang w:val="en-US" w:eastAsia="zh-CN"/>
        </w:rPr>
        <w:t>）</w:t>
      </w:r>
      <w:r>
        <w:rPr>
          <w:rFonts w:hint="default" w:ascii="宋体" w:eastAsia="宋体"/>
          <w:b w:val="0"/>
          <w:bCs w:val="0"/>
          <w:color w:val="000000"/>
          <w:sz w:val="21"/>
          <w:szCs w:val="21"/>
          <w:lang w:val="en-US" w:eastAsia="zh-CN"/>
        </w:rPr>
        <w:t>肥料需要量</w:t>
      </w:r>
    </w:p>
    <w:p w14:paraId="60D1E115">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eastAsia="宋体"/>
          <w:b w:val="0"/>
          <w:bCs w:val="0"/>
          <w:color w:val="000000"/>
          <w:sz w:val="21"/>
          <w:szCs w:val="21"/>
          <w:lang w:val="en-US" w:eastAsia="zh-CN"/>
        </w:rPr>
      </w:pPr>
      <w:r>
        <w:rPr>
          <w:rFonts w:hint="eastAsia" w:ascii="宋体" w:eastAsia="宋体"/>
          <w:b w:val="0"/>
          <w:bCs w:val="0"/>
          <w:color w:val="000000"/>
          <w:sz w:val="21"/>
          <w:szCs w:val="21"/>
          <w:lang w:val="en-US" w:eastAsia="zh-CN"/>
        </w:rPr>
        <w:t>湛江经济技术开发区2026年森林质量精准提升（新造林抚育）项目</w:t>
      </w:r>
      <w:r>
        <w:rPr>
          <w:rFonts w:hint="default" w:ascii="宋体" w:eastAsia="宋体"/>
          <w:b w:val="0"/>
          <w:bCs w:val="0"/>
          <w:color w:val="000000"/>
          <w:sz w:val="21"/>
          <w:szCs w:val="21"/>
          <w:lang w:val="en-US" w:eastAsia="zh-CN"/>
        </w:rPr>
        <w:t>，基肥与追肥统一选用复合肥（NPK≥</w:t>
      </w:r>
      <w:r>
        <w:rPr>
          <w:rFonts w:hint="eastAsia" w:ascii="宋体" w:eastAsia="宋体"/>
          <w:b w:val="0"/>
          <w:bCs w:val="0"/>
          <w:color w:val="000000"/>
          <w:sz w:val="21"/>
          <w:szCs w:val="21"/>
          <w:lang w:val="en-US" w:eastAsia="zh-CN"/>
        </w:rPr>
        <w:t>45</w:t>
      </w:r>
      <w:r>
        <w:rPr>
          <w:rFonts w:hint="default" w:ascii="宋体" w:eastAsia="宋体"/>
          <w:b w:val="0"/>
          <w:bCs w:val="0"/>
          <w:color w:val="000000"/>
          <w:sz w:val="21"/>
          <w:szCs w:val="21"/>
          <w:lang w:val="en-US" w:eastAsia="zh-CN"/>
        </w:rPr>
        <w:t>%），本项目需基肥</w:t>
      </w:r>
      <w:r>
        <w:rPr>
          <w:rFonts w:hint="eastAsia" w:ascii="宋体" w:eastAsia="宋体"/>
          <w:b w:val="0"/>
          <w:bCs w:val="0"/>
          <w:color w:val="000000"/>
          <w:sz w:val="21"/>
          <w:szCs w:val="21"/>
          <w:lang w:val="en-US" w:eastAsia="zh-CN"/>
        </w:rPr>
        <w:t>2360</w:t>
      </w:r>
      <w:r>
        <w:rPr>
          <w:rFonts w:hint="default" w:ascii="宋体" w:eastAsia="宋体"/>
          <w:b w:val="0"/>
          <w:bCs w:val="0"/>
          <w:color w:val="000000"/>
          <w:sz w:val="21"/>
          <w:szCs w:val="21"/>
          <w:lang w:val="en-US" w:eastAsia="zh-CN"/>
        </w:rPr>
        <w:t>kg，追肥</w:t>
      </w:r>
      <w:r>
        <w:rPr>
          <w:rFonts w:hint="eastAsia" w:ascii="宋体" w:eastAsia="宋体"/>
          <w:b w:val="0"/>
          <w:bCs w:val="0"/>
          <w:color w:val="000000"/>
          <w:sz w:val="21"/>
          <w:szCs w:val="21"/>
          <w:lang w:val="en-US" w:eastAsia="zh-CN"/>
        </w:rPr>
        <w:t>6108</w:t>
      </w:r>
      <w:r>
        <w:rPr>
          <w:rFonts w:hint="default" w:ascii="宋体" w:eastAsia="宋体"/>
          <w:b w:val="0"/>
          <w:bCs w:val="0"/>
          <w:color w:val="000000"/>
          <w:sz w:val="21"/>
          <w:szCs w:val="21"/>
          <w:lang w:val="en-US" w:eastAsia="zh-CN"/>
        </w:rPr>
        <w:t>kg，共需</w:t>
      </w:r>
      <w:r>
        <w:rPr>
          <w:rFonts w:hint="eastAsia" w:ascii="宋体" w:eastAsia="宋体"/>
          <w:b w:val="0"/>
          <w:bCs w:val="0"/>
          <w:color w:val="000000"/>
          <w:sz w:val="21"/>
          <w:szCs w:val="21"/>
          <w:lang w:val="en-US" w:eastAsia="zh-CN"/>
        </w:rPr>
        <w:t>8468</w:t>
      </w:r>
      <w:r>
        <w:rPr>
          <w:rFonts w:hint="default" w:ascii="宋体" w:eastAsia="宋体"/>
          <w:b w:val="0"/>
          <w:bCs w:val="0"/>
          <w:color w:val="000000"/>
          <w:sz w:val="21"/>
          <w:szCs w:val="21"/>
          <w:lang w:val="en-US" w:eastAsia="zh-CN"/>
        </w:rPr>
        <w:t>kg。具体情况详见下表7-2。</w:t>
      </w:r>
    </w:p>
    <w:tbl>
      <w:tblPr>
        <w:tblStyle w:val="4"/>
        <w:tblW w:w="5004"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76"/>
        <w:gridCol w:w="1069"/>
        <w:gridCol w:w="721"/>
        <w:gridCol w:w="822"/>
        <w:gridCol w:w="841"/>
        <w:gridCol w:w="1417"/>
        <w:gridCol w:w="1167"/>
        <w:gridCol w:w="1418"/>
      </w:tblGrid>
      <w:tr w14:paraId="2F504D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1075" w:type="dxa"/>
            <w:vMerge w:val="restart"/>
            <w:tcBorders>
              <w:top w:val="single" w:color="000000" w:sz="4" w:space="0"/>
              <w:left w:val="single" w:color="000000" w:sz="4" w:space="0"/>
              <w:right w:val="single" w:color="000000" w:sz="4" w:space="0"/>
            </w:tcBorders>
            <w:shd w:val="clear" w:color="auto" w:fill="BEBEBE"/>
            <w:noWrap/>
            <w:vAlign w:val="center"/>
          </w:tcPr>
          <w:p w14:paraId="3D80129E">
            <w:pPr>
              <w:keepNext w:val="0"/>
              <w:keepLines w:val="0"/>
              <w:widowControl/>
              <w:suppressLineNumbers w:val="0"/>
              <w:jc w:val="center"/>
              <w:textAlignment w:val="center"/>
              <w:rPr>
                <w:rFonts w:hint="default" w:ascii="Times New Roman" w:hAnsi="Times New Roman" w:eastAsia="仿宋" w:cs="Times New Roman"/>
                <w:b/>
                <w:bCs/>
                <w:i w:val="0"/>
                <w:iCs w:val="0"/>
                <w:color w:val="auto"/>
                <w:kern w:val="0"/>
                <w:sz w:val="20"/>
                <w:szCs w:val="20"/>
                <w:highlight w:val="none"/>
                <w:u w:val="none"/>
                <w:lang w:val="en-US" w:eastAsia="zh-CN" w:bidi="ar"/>
              </w:rPr>
            </w:pPr>
            <w:r>
              <w:rPr>
                <w:rFonts w:hint="eastAsia" w:ascii="仿宋" w:hAnsi="仿宋" w:eastAsia="仿宋" w:cs="仿宋"/>
                <w:b/>
                <w:bCs/>
                <w:i w:val="0"/>
                <w:iCs w:val="0"/>
                <w:color w:val="000000"/>
                <w:kern w:val="0"/>
                <w:sz w:val="20"/>
                <w:szCs w:val="20"/>
                <w:highlight w:val="none"/>
                <w:u w:val="none"/>
                <w:lang w:val="en-US" w:eastAsia="zh-CN" w:bidi="ar"/>
              </w:rPr>
              <w:t>乡</w:t>
            </w:r>
            <w:r>
              <w:rPr>
                <w:rFonts w:hint="default" w:ascii="Times New Roman" w:hAnsi="Times New Roman" w:eastAsia="仿宋" w:cs="Times New Roman"/>
                <w:b/>
                <w:bCs/>
                <w:i w:val="0"/>
                <w:iCs w:val="0"/>
                <w:color w:val="000000"/>
                <w:kern w:val="0"/>
                <w:sz w:val="20"/>
                <w:szCs w:val="20"/>
                <w:highlight w:val="none"/>
                <w:u w:val="none"/>
                <w:lang w:val="en-US" w:eastAsia="zh-CN" w:bidi="ar"/>
              </w:rPr>
              <w:t>(</w:t>
            </w:r>
            <w:r>
              <w:rPr>
                <w:rFonts w:hint="eastAsia" w:ascii="仿宋" w:hAnsi="仿宋" w:eastAsia="仿宋" w:cs="仿宋"/>
                <w:b/>
                <w:bCs/>
                <w:i w:val="0"/>
                <w:iCs w:val="0"/>
                <w:color w:val="000000"/>
                <w:kern w:val="0"/>
                <w:sz w:val="20"/>
                <w:szCs w:val="20"/>
                <w:highlight w:val="none"/>
                <w:u w:val="none"/>
                <w:lang w:val="en-US" w:eastAsia="zh-CN" w:bidi="ar"/>
              </w:rPr>
              <w:t>镇</w:t>
            </w:r>
            <w:r>
              <w:rPr>
                <w:rFonts w:hint="default" w:ascii="Times New Roman" w:hAnsi="Times New Roman" w:eastAsia="仿宋" w:cs="Times New Roman"/>
                <w:b/>
                <w:bCs/>
                <w:i w:val="0"/>
                <w:iCs w:val="0"/>
                <w:color w:val="000000"/>
                <w:kern w:val="0"/>
                <w:sz w:val="20"/>
                <w:szCs w:val="20"/>
                <w:highlight w:val="none"/>
                <w:u w:val="none"/>
                <w:lang w:val="en-US" w:eastAsia="zh-CN" w:bidi="ar"/>
              </w:rPr>
              <w:t>)</w:t>
            </w:r>
          </w:p>
        </w:tc>
        <w:tc>
          <w:tcPr>
            <w:tcW w:w="1068" w:type="dxa"/>
            <w:vMerge w:val="restart"/>
            <w:tcBorders>
              <w:top w:val="single" w:color="000000" w:sz="4" w:space="0"/>
              <w:left w:val="single" w:color="000000" w:sz="4" w:space="0"/>
              <w:bottom w:val="single" w:color="000000" w:sz="4" w:space="0"/>
              <w:right w:val="single" w:color="000000" w:sz="4" w:space="0"/>
            </w:tcBorders>
            <w:shd w:val="clear" w:color="auto" w:fill="BEBEBE"/>
            <w:noWrap/>
            <w:vAlign w:val="center"/>
          </w:tcPr>
          <w:p w14:paraId="7B40EE79">
            <w:pPr>
              <w:keepNext w:val="0"/>
              <w:keepLines w:val="0"/>
              <w:widowControl/>
              <w:suppressLineNumbers w:val="0"/>
              <w:jc w:val="center"/>
              <w:textAlignment w:val="center"/>
              <w:rPr>
                <w:rFonts w:hint="default" w:ascii="Times New Roman" w:hAnsi="Times New Roman" w:eastAsia="仿宋" w:cs="Times New Roman"/>
                <w:b/>
                <w:bCs/>
                <w:i w:val="0"/>
                <w:iCs w:val="0"/>
                <w:color w:val="auto"/>
                <w:kern w:val="0"/>
                <w:sz w:val="20"/>
                <w:szCs w:val="20"/>
                <w:highlight w:val="none"/>
                <w:u w:val="none"/>
                <w:lang w:val="en-US" w:eastAsia="zh-CN" w:bidi="ar"/>
              </w:rPr>
            </w:pPr>
            <w:r>
              <w:rPr>
                <w:rFonts w:hint="eastAsia" w:ascii="仿宋" w:hAnsi="仿宋" w:eastAsia="仿宋" w:cs="仿宋"/>
                <w:b/>
                <w:bCs/>
                <w:i w:val="0"/>
                <w:iCs w:val="0"/>
                <w:color w:val="000000"/>
                <w:kern w:val="0"/>
                <w:sz w:val="20"/>
                <w:szCs w:val="20"/>
                <w:highlight w:val="none"/>
                <w:u w:val="none"/>
                <w:lang w:val="en-US" w:eastAsia="zh-CN" w:bidi="ar"/>
              </w:rPr>
              <w:t>村</w:t>
            </w:r>
          </w:p>
        </w:tc>
        <w:tc>
          <w:tcPr>
            <w:tcW w:w="720" w:type="dxa"/>
            <w:vMerge w:val="restart"/>
            <w:tcBorders>
              <w:top w:val="single" w:color="000000" w:sz="4" w:space="0"/>
              <w:left w:val="single" w:color="000000" w:sz="4" w:space="0"/>
              <w:right w:val="single" w:color="000000" w:sz="4" w:space="0"/>
            </w:tcBorders>
            <w:shd w:val="clear" w:color="auto" w:fill="BEBEBE"/>
            <w:noWrap/>
            <w:vAlign w:val="center"/>
          </w:tcPr>
          <w:p w14:paraId="7A390A77">
            <w:pPr>
              <w:keepNext w:val="0"/>
              <w:keepLines w:val="0"/>
              <w:widowControl/>
              <w:suppressLineNumbers w:val="0"/>
              <w:jc w:val="center"/>
              <w:textAlignment w:val="center"/>
              <w:rPr>
                <w:rFonts w:hint="default" w:ascii="Times New Roman" w:hAnsi="Times New Roman" w:eastAsia="仿宋" w:cs="Times New Roman"/>
                <w:b/>
                <w:bCs/>
                <w:i w:val="0"/>
                <w:iCs w:val="0"/>
                <w:color w:val="auto"/>
                <w:kern w:val="0"/>
                <w:sz w:val="20"/>
                <w:szCs w:val="20"/>
                <w:highlight w:val="none"/>
                <w:u w:val="none"/>
                <w:lang w:val="en-US" w:eastAsia="zh-CN" w:bidi="ar"/>
              </w:rPr>
            </w:pPr>
            <w:r>
              <w:rPr>
                <w:rFonts w:hint="eastAsia" w:ascii="仿宋" w:hAnsi="仿宋" w:eastAsia="仿宋" w:cs="仿宋"/>
                <w:b/>
                <w:bCs/>
                <w:i w:val="0"/>
                <w:iCs w:val="0"/>
                <w:color w:val="000000"/>
                <w:kern w:val="0"/>
                <w:sz w:val="20"/>
                <w:szCs w:val="20"/>
                <w:highlight w:val="none"/>
                <w:u w:val="none"/>
                <w:lang w:val="en-US" w:eastAsia="zh-CN" w:bidi="ar"/>
              </w:rPr>
              <w:t>小班号</w:t>
            </w:r>
          </w:p>
        </w:tc>
        <w:tc>
          <w:tcPr>
            <w:tcW w:w="821" w:type="dxa"/>
            <w:vMerge w:val="restart"/>
            <w:tcBorders>
              <w:top w:val="single" w:color="000000" w:sz="4" w:space="0"/>
              <w:left w:val="single" w:color="000000" w:sz="4" w:space="0"/>
              <w:right w:val="single" w:color="000000" w:sz="4" w:space="0"/>
            </w:tcBorders>
            <w:shd w:val="clear" w:color="auto" w:fill="BEBEBE"/>
            <w:noWrap/>
            <w:vAlign w:val="center"/>
          </w:tcPr>
          <w:p w14:paraId="16E88C68">
            <w:pPr>
              <w:keepNext w:val="0"/>
              <w:keepLines w:val="0"/>
              <w:widowControl/>
              <w:suppressLineNumbers w:val="0"/>
              <w:jc w:val="center"/>
              <w:textAlignment w:val="center"/>
              <w:rPr>
                <w:rFonts w:hint="default" w:ascii="Times New Roman" w:hAnsi="Times New Roman" w:eastAsia="仿宋" w:cs="Times New Roman"/>
                <w:b/>
                <w:bCs/>
                <w:i w:val="0"/>
                <w:iCs w:val="0"/>
                <w:color w:val="auto"/>
                <w:kern w:val="0"/>
                <w:sz w:val="20"/>
                <w:szCs w:val="20"/>
                <w:highlight w:val="none"/>
                <w:u w:val="none"/>
                <w:lang w:val="en-US" w:eastAsia="zh-CN" w:bidi="ar"/>
              </w:rPr>
            </w:pPr>
            <w:r>
              <w:rPr>
                <w:rFonts w:hint="eastAsia" w:ascii="仿宋" w:hAnsi="仿宋" w:eastAsia="仿宋" w:cs="仿宋"/>
                <w:b/>
                <w:bCs/>
                <w:i w:val="0"/>
                <w:iCs w:val="0"/>
                <w:color w:val="000000"/>
                <w:kern w:val="0"/>
                <w:sz w:val="20"/>
                <w:szCs w:val="20"/>
                <w:highlight w:val="none"/>
                <w:u w:val="none"/>
                <w:lang w:val="en-US" w:eastAsia="zh-CN" w:bidi="ar"/>
              </w:rPr>
              <w:t>面积（亩）</w:t>
            </w:r>
          </w:p>
        </w:tc>
        <w:tc>
          <w:tcPr>
            <w:tcW w:w="4839" w:type="dxa"/>
            <w:gridSpan w:val="4"/>
            <w:tcBorders>
              <w:top w:val="single" w:color="000000" w:sz="4" w:space="0"/>
              <w:left w:val="single" w:color="000000" w:sz="4" w:space="0"/>
              <w:bottom w:val="single" w:color="000000" w:sz="4" w:space="0"/>
              <w:right w:val="single" w:color="000000" w:sz="4" w:space="0"/>
            </w:tcBorders>
            <w:shd w:val="clear" w:color="auto" w:fill="BEBEBE"/>
            <w:noWrap/>
            <w:vAlign w:val="center"/>
          </w:tcPr>
          <w:p w14:paraId="28D60C1A">
            <w:pPr>
              <w:keepNext w:val="0"/>
              <w:keepLines w:val="0"/>
              <w:widowControl/>
              <w:suppressLineNumbers w:val="0"/>
              <w:jc w:val="center"/>
              <w:textAlignment w:val="center"/>
              <w:rPr>
                <w:rFonts w:hint="default" w:ascii="Times New Roman" w:hAnsi="Times New Roman" w:eastAsia="仿宋" w:cs="Times New Roman"/>
                <w:b/>
                <w:bCs/>
                <w:i w:val="0"/>
                <w:iCs w:val="0"/>
                <w:color w:val="auto"/>
                <w:kern w:val="0"/>
                <w:sz w:val="20"/>
                <w:szCs w:val="20"/>
                <w:highlight w:val="none"/>
                <w:u w:val="none"/>
                <w:lang w:val="en-US" w:eastAsia="zh-CN" w:bidi="ar"/>
              </w:rPr>
            </w:pPr>
            <w:r>
              <w:rPr>
                <w:rFonts w:hint="eastAsia" w:ascii="仿宋" w:hAnsi="仿宋" w:eastAsia="仿宋" w:cs="仿宋"/>
                <w:b/>
                <w:bCs/>
                <w:i w:val="0"/>
                <w:iCs w:val="0"/>
                <w:color w:val="000000"/>
                <w:kern w:val="0"/>
                <w:sz w:val="20"/>
                <w:szCs w:val="20"/>
                <w:highlight w:val="none"/>
                <w:u w:val="none"/>
                <w:lang w:val="en-US" w:eastAsia="zh-CN" w:bidi="ar"/>
              </w:rPr>
              <w:t>新造林抚育</w:t>
            </w:r>
          </w:p>
        </w:tc>
      </w:tr>
      <w:tr w14:paraId="213BF0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1075" w:type="dxa"/>
            <w:vMerge w:val="continue"/>
            <w:tcBorders>
              <w:left w:val="single" w:color="000000" w:sz="4" w:space="0"/>
              <w:bottom w:val="single" w:color="000000" w:sz="4" w:space="0"/>
              <w:right w:val="single" w:color="000000" w:sz="4" w:space="0"/>
            </w:tcBorders>
            <w:shd w:val="clear" w:color="auto" w:fill="BEBEBE"/>
            <w:noWrap/>
            <w:vAlign w:val="center"/>
          </w:tcPr>
          <w:p w14:paraId="4439BD53">
            <w:pPr>
              <w:jc w:val="center"/>
              <w:rPr>
                <w:rFonts w:hint="default" w:ascii="Times New Roman" w:hAnsi="Times New Roman" w:eastAsia="仿宋" w:cs="Times New Roman"/>
                <w:b/>
                <w:bCs/>
                <w:i w:val="0"/>
                <w:iCs w:val="0"/>
                <w:color w:val="auto"/>
                <w:kern w:val="0"/>
                <w:sz w:val="20"/>
                <w:szCs w:val="20"/>
                <w:highlight w:val="none"/>
                <w:u w:val="none"/>
                <w:lang w:val="en-US" w:eastAsia="zh-CN" w:bidi="ar"/>
              </w:rPr>
            </w:pPr>
          </w:p>
        </w:tc>
        <w:tc>
          <w:tcPr>
            <w:tcW w:w="1068" w:type="dxa"/>
            <w:vMerge w:val="continue"/>
            <w:tcBorders>
              <w:top w:val="single" w:color="000000" w:sz="4" w:space="0"/>
              <w:left w:val="single" w:color="000000" w:sz="4" w:space="0"/>
              <w:bottom w:val="single" w:color="000000" w:sz="4" w:space="0"/>
              <w:right w:val="single" w:color="000000" w:sz="4" w:space="0"/>
            </w:tcBorders>
            <w:shd w:val="clear" w:color="auto" w:fill="BEBEBE"/>
            <w:noWrap/>
            <w:vAlign w:val="center"/>
          </w:tcPr>
          <w:p w14:paraId="037CD399">
            <w:pPr>
              <w:jc w:val="center"/>
              <w:rPr>
                <w:rFonts w:hint="default" w:ascii="Times New Roman" w:hAnsi="Times New Roman" w:eastAsia="仿宋" w:cs="Times New Roman"/>
                <w:b/>
                <w:bCs/>
                <w:i w:val="0"/>
                <w:iCs w:val="0"/>
                <w:color w:val="auto"/>
                <w:kern w:val="0"/>
                <w:sz w:val="20"/>
                <w:szCs w:val="20"/>
                <w:highlight w:val="none"/>
                <w:u w:val="none"/>
                <w:lang w:val="en-US" w:eastAsia="zh-CN" w:bidi="ar"/>
              </w:rPr>
            </w:pPr>
          </w:p>
        </w:tc>
        <w:tc>
          <w:tcPr>
            <w:tcW w:w="720" w:type="dxa"/>
            <w:vMerge w:val="continue"/>
            <w:tcBorders>
              <w:left w:val="single" w:color="000000" w:sz="4" w:space="0"/>
              <w:bottom w:val="single" w:color="000000" w:sz="4" w:space="0"/>
              <w:right w:val="single" w:color="000000" w:sz="4" w:space="0"/>
            </w:tcBorders>
            <w:shd w:val="clear" w:color="auto" w:fill="BEBEBE"/>
            <w:noWrap/>
            <w:vAlign w:val="center"/>
          </w:tcPr>
          <w:p w14:paraId="50E1E624">
            <w:pPr>
              <w:jc w:val="center"/>
              <w:rPr>
                <w:rFonts w:hint="default" w:ascii="Times New Roman" w:hAnsi="Times New Roman" w:eastAsia="仿宋" w:cs="Times New Roman"/>
                <w:b/>
                <w:bCs/>
                <w:i w:val="0"/>
                <w:iCs w:val="0"/>
                <w:color w:val="auto"/>
                <w:kern w:val="0"/>
                <w:sz w:val="20"/>
                <w:szCs w:val="20"/>
                <w:highlight w:val="none"/>
                <w:u w:val="none"/>
                <w:lang w:val="en-US" w:eastAsia="zh-CN" w:bidi="ar"/>
              </w:rPr>
            </w:pPr>
          </w:p>
        </w:tc>
        <w:tc>
          <w:tcPr>
            <w:tcW w:w="821" w:type="dxa"/>
            <w:vMerge w:val="continue"/>
            <w:tcBorders>
              <w:left w:val="single" w:color="000000" w:sz="4" w:space="0"/>
              <w:bottom w:val="single" w:color="000000" w:sz="4" w:space="0"/>
              <w:right w:val="single" w:color="000000" w:sz="4" w:space="0"/>
            </w:tcBorders>
            <w:shd w:val="clear" w:color="auto" w:fill="BEBEBE"/>
            <w:noWrap/>
            <w:vAlign w:val="center"/>
          </w:tcPr>
          <w:p w14:paraId="3C4BABB7">
            <w:pPr>
              <w:jc w:val="center"/>
              <w:rPr>
                <w:rFonts w:hint="default" w:ascii="Times New Roman" w:hAnsi="Times New Roman" w:eastAsia="仿宋" w:cs="Times New Roman"/>
                <w:b/>
                <w:bCs/>
                <w:i w:val="0"/>
                <w:iCs w:val="0"/>
                <w:color w:val="auto"/>
                <w:kern w:val="0"/>
                <w:sz w:val="20"/>
                <w:szCs w:val="20"/>
                <w:highlight w:val="none"/>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shd w:val="clear" w:color="auto" w:fill="BEBEBE"/>
            <w:noWrap/>
            <w:vAlign w:val="center"/>
          </w:tcPr>
          <w:p w14:paraId="719ED90B">
            <w:pPr>
              <w:keepNext w:val="0"/>
              <w:keepLines w:val="0"/>
              <w:widowControl/>
              <w:suppressLineNumbers w:val="0"/>
              <w:jc w:val="center"/>
              <w:textAlignment w:val="center"/>
              <w:rPr>
                <w:rFonts w:hint="default" w:ascii="Times New Roman" w:hAnsi="Times New Roman" w:eastAsia="仿宋" w:cs="Times New Roman"/>
                <w:b/>
                <w:bCs/>
                <w:i w:val="0"/>
                <w:iCs w:val="0"/>
                <w:color w:val="auto"/>
                <w:kern w:val="0"/>
                <w:sz w:val="20"/>
                <w:szCs w:val="20"/>
                <w:highlight w:val="none"/>
                <w:u w:val="none"/>
                <w:lang w:val="en-US" w:eastAsia="zh-CN" w:bidi="ar"/>
              </w:rPr>
            </w:pPr>
            <w:r>
              <w:rPr>
                <w:rFonts w:hint="eastAsia" w:ascii="仿宋" w:hAnsi="仿宋" w:eastAsia="仿宋" w:cs="仿宋"/>
                <w:b/>
                <w:bCs/>
                <w:i w:val="0"/>
                <w:iCs w:val="0"/>
                <w:color w:val="000000"/>
                <w:kern w:val="0"/>
                <w:sz w:val="20"/>
                <w:szCs w:val="20"/>
                <w:highlight w:val="none"/>
                <w:u w:val="none"/>
                <w:lang w:val="en-US" w:eastAsia="zh-CN" w:bidi="ar"/>
              </w:rPr>
              <w:t>用工量（工日）</w:t>
            </w:r>
          </w:p>
        </w:tc>
        <w:tc>
          <w:tcPr>
            <w:tcW w:w="1416" w:type="dxa"/>
            <w:tcBorders>
              <w:top w:val="single" w:color="000000" w:sz="4" w:space="0"/>
              <w:left w:val="single" w:color="000000" w:sz="4" w:space="0"/>
              <w:bottom w:val="single" w:color="000000" w:sz="4" w:space="0"/>
              <w:right w:val="single" w:color="000000" w:sz="4" w:space="0"/>
            </w:tcBorders>
            <w:shd w:val="clear" w:color="auto" w:fill="BEBEBE"/>
            <w:noWrap/>
            <w:vAlign w:val="center"/>
          </w:tcPr>
          <w:p w14:paraId="23A59901">
            <w:pPr>
              <w:keepNext w:val="0"/>
              <w:keepLines w:val="0"/>
              <w:widowControl/>
              <w:suppressLineNumbers w:val="0"/>
              <w:jc w:val="center"/>
              <w:textAlignment w:val="center"/>
              <w:rPr>
                <w:rFonts w:hint="default" w:ascii="Times New Roman" w:hAnsi="Times New Roman" w:eastAsia="仿宋" w:cs="Times New Roman"/>
                <w:b/>
                <w:bCs/>
                <w:i w:val="0"/>
                <w:iCs w:val="0"/>
                <w:color w:val="auto"/>
                <w:kern w:val="0"/>
                <w:sz w:val="20"/>
                <w:szCs w:val="20"/>
                <w:highlight w:val="none"/>
                <w:u w:val="none"/>
                <w:lang w:val="en-US" w:eastAsia="zh-CN" w:bidi="ar"/>
              </w:rPr>
            </w:pPr>
            <w:r>
              <w:rPr>
                <w:rFonts w:hint="eastAsia" w:ascii="仿宋" w:hAnsi="仿宋" w:eastAsia="仿宋" w:cs="仿宋"/>
                <w:b/>
                <w:bCs/>
                <w:i w:val="0"/>
                <w:iCs w:val="0"/>
                <w:color w:val="000000"/>
                <w:kern w:val="0"/>
                <w:sz w:val="20"/>
                <w:szCs w:val="20"/>
                <w:highlight w:val="none"/>
                <w:u w:val="none"/>
                <w:lang w:val="en-US" w:eastAsia="zh-CN" w:bidi="ar"/>
              </w:rPr>
              <w:t>苗木-木麻黄(株）（</w:t>
            </w:r>
            <w:r>
              <w:rPr>
                <w:rFonts w:hint="eastAsia" w:ascii="仿宋" w:hAnsi="仿宋" w:eastAsia="仿宋" w:cs="仿宋"/>
                <w:b/>
                <w:bCs/>
                <w:color w:val="000000"/>
                <w:kern w:val="0"/>
                <w:sz w:val="20"/>
                <w:szCs w:val="20"/>
                <w:highlight w:val="none"/>
                <w:lang w:bidi="ar"/>
              </w:rPr>
              <w:t>含5%损耗苗量</w:t>
            </w:r>
            <w:r>
              <w:rPr>
                <w:rFonts w:hint="eastAsia" w:ascii="仿宋" w:hAnsi="仿宋" w:eastAsia="仿宋" w:cs="仿宋"/>
                <w:b/>
                <w:bCs/>
                <w:i w:val="0"/>
                <w:iCs w:val="0"/>
                <w:color w:val="000000"/>
                <w:kern w:val="0"/>
                <w:sz w:val="20"/>
                <w:szCs w:val="20"/>
                <w:highlight w:val="none"/>
                <w:u w:val="none"/>
                <w:lang w:val="en-US" w:eastAsia="zh-CN" w:bidi="ar"/>
              </w:rPr>
              <w:t>）</w:t>
            </w:r>
          </w:p>
        </w:tc>
        <w:tc>
          <w:tcPr>
            <w:tcW w:w="1166" w:type="dxa"/>
            <w:tcBorders>
              <w:top w:val="single" w:color="000000" w:sz="4" w:space="0"/>
              <w:left w:val="single" w:color="000000" w:sz="4" w:space="0"/>
              <w:bottom w:val="single" w:color="000000" w:sz="4" w:space="0"/>
              <w:right w:val="single" w:color="000000" w:sz="4" w:space="0"/>
            </w:tcBorders>
            <w:shd w:val="clear" w:color="auto" w:fill="BEBEBE"/>
            <w:noWrap/>
            <w:vAlign w:val="center"/>
          </w:tcPr>
          <w:p w14:paraId="6DBFF355">
            <w:pPr>
              <w:keepNext w:val="0"/>
              <w:keepLines w:val="0"/>
              <w:widowControl/>
              <w:suppressLineNumbers w:val="0"/>
              <w:jc w:val="center"/>
              <w:textAlignment w:val="center"/>
              <w:rPr>
                <w:rFonts w:hint="default" w:ascii="Times New Roman" w:hAnsi="Times New Roman" w:eastAsia="仿宋" w:cs="Times New Roman"/>
                <w:b/>
                <w:bCs/>
                <w:i w:val="0"/>
                <w:iCs w:val="0"/>
                <w:color w:val="auto"/>
                <w:kern w:val="0"/>
                <w:sz w:val="20"/>
                <w:szCs w:val="20"/>
                <w:highlight w:val="none"/>
                <w:u w:val="none"/>
                <w:lang w:val="en-US" w:eastAsia="zh-CN" w:bidi="ar"/>
              </w:rPr>
            </w:pPr>
            <w:r>
              <w:rPr>
                <w:rFonts w:hint="eastAsia" w:ascii="仿宋" w:hAnsi="仿宋" w:eastAsia="仿宋" w:cs="仿宋"/>
                <w:b/>
                <w:bCs/>
                <w:i w:val="0"/>
                <w:iCs w:val="0"/>
                <w:color w:val="000000"/>
                <w:kern w:val="0"/>
                <w:sz w:val="20"/>
                <w:szCs w:val="20"/>
                <w:highlight w:val="none"/>
                <w:u w:val="none"/>
                <w:lang w:val="en-US" w:eastAsia="zh-CN" w:bidi="ar"/>
              </w:rPr>
              <w:t>抚育肥料(kg)</w:t>
            </w:r>
          </w:p>
        </w:tc>
        <w:tc>
          <w:tcPr>
            <w:tcW w:w="1417" w:type="dxa"/>
            <w:tcBorders>
              <w:top w:val="single" w:color="000000" w:sz="4" w:space="0"/>
              <w:left w:val="single" w:color="000000" w:sz="4" w:space="0"/>
              <w:bottom w:val="single" w:color="000000" w:sz="4" w:space="0"/>
              <w:right w:val="single" w:color="000000" w:sz="4" w:space="0"/>
            </w:tcBorders>
            <w:shd w:val="clear" w:color="auto" w:fill="BEBEBE"/>
            <w:noWrap/>
            <w:vAlign w:val="center"/>
          </w:tcPr>
          <w:p w14:paraId="77DA184B">
            <w:pPr>
              <w:keepNext w:val="0"/>
              <w:keepLines w:val="0"/>
              <w:widowControl/>
              <w:suppressLineNumbers w:val="0"/>
              <w:jc w:val="center"/>
              <w:textAlignment w:val="center"/>
              <w:rPr>
                <w:rFonts w:hint="default" w:ascii="Times New Roman" w:hAnsi="Times New Roman" w:eastAsia="仿宋" w:cs="Times New Roman"/>
                <w:b/>
                <w:bCs/>
                <w:i w:val="0"/>
                <w:iCs w:val="0"/>
                <w:color w:val="auto"/>
                <w:kern w:val="0"/>
                <w:sz w:val="20"/>
                <w:szCs w:val="20"/>
                <w:highlight w:val="none"/>
                <w:u w:val="none"/>
                <w:lang w:val="en-US" w:eastAsia="zh-CN" w:bidi="ar"/>
              </w:rPr>
            </w:pPr>
            <w:r>
              <w:rPr>
                <w:rFonts w:hint="eastAsia" w:ascii="仿宋" w:hAnsi="仿宋" w:eastAsia="仿宋" w:cs="仿宋"/>
                <w:b/>
                <w:bCs/>
                <w:i w:val="0"/>
                <w:iCs w:val="0"/>
                <w:color w:val="000000"/>
                <w:kern w:val="0"/>
                <w:sz w:val="20"/>
                <w:szCs w:val="20"/>
                <w:highlight w:val="none"/>
                <w:u w:val="none"/>
                <w:lang w:val="en-US" w:eastAsia="zh-CN" w:bidi="ar"/>
              </w:rPr>
              <w:t>补植所需基肥(kg)</w:t>
            </w:r>
          </w:p>
        </w:tc>
      </w:tr>
      <w:tr w14:paraId="63EEAA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2863" w:type="dxa"/>
            <w:gridSpan w:val="3"/>
            <w:tcBorders>
              <w:top w:val="single" w:color="000000" w:sz="4" w:space="0"/>
              <w:left w:val="single" w:color="000000" w:sz="4" w:space="0"/>
              <w:bottom w:val="single" w:color="000000" w:sz="4" w:space="0"/>
              <w:right w:val="single" w:color="000000" w:sz="4" w:space="0"/>
            </w:tcBorders>
            <w:noWrap/>
            <w:vAlign w:val="center"/>
          </w:tcPr>
          <w:p w14:paraId="1280C476">
            <w:pPr>
              <w:keepNext w:val="0"/>
              <w:keepLines w:val="0"/>
              <w:widowControl/>
              <w:suppressLineNumbers w:val="0"/>
              <w:jc w:val="center"/>
              <w:textAlignment w:val="center"/>
              <w:rPr>
                <w:rFonts w:hint="default" w:ascii="Times New Roman" w:hAnsi="Times New Roman" w:eastAsia="仿宋" w:cs="Times New Roman"/>
                <w:b/>
                <w:bCs/>
                <w:i w:val="0"/>
                <w:iCs w:val="0"/>
                <w:color w:val="auto"/>
                <w:sz w:val="20"/>
                <w:szCs w:val="20"/>
                <w:highlight w:val="none"/>
                <w:u w:val="none"/>
              </w:rPr>
            </w:pPr>
            <w:r>
              <w:rPr>
                <w:rFonts w:hint="eastAsia" w:ascii="仿宋" w:hAnsi="仿宋" w:eastAsia="仿宋" w:cs="仿宋"/>
                <w:b/>
                <w:bCs/>
                <w:i w:val="0"/>
                <w:iCs w:val="0"/>
                <w:color w:val="000000"/>
                <w:kern w:val="0"/>
                <w:sz w:val="20"/>
                <w:szCs w:val="20"/>
                <w:highlight w:val="none"/>
                <w:u w:val="none"/>
                <w:lang w:val="en-US" w:eastAsia="zh-CN" w:bidi="ar"/>
              </w:rPr>
              <w:t>总</w:t>
            </w:r>
            <w:r>
              <w:rPr>
                <w:rFonts w:hint="default" w:ascii="Times New Roman" w:hAnsi="Times New Roman" w:eastAsia="宋体" w:cs="Times New Roman"/>
                <w:b/>
                <w:bCs/>
                <w:i w:val="0"/>
                <w:iCs w:val="0"/>
                <w:color w:val="000000"/>
                <w:kern w:val="0"/>
                <w:sz w:val="20"/>
                <w:szCs w:val="20"/>
                <w:highlight w:val="none"/>
                <w:u w:val="none"/>
                <w:lang w:val="en-US" w:eastAsia="zh-CN" w:bidi="ar"/>
              </w:rPr>
              <w:t xml:space="preserve">  </w:t>
            </w:r>
            <w:r>
              <w:rPr>
                <w:rFonts w:hint="eastAsia" w:ascii="仿宋" w:hAnsi="仿宋" w:eastAsia="仿宋" w:cs="仿宋"/>
                <w:b/>
                <w:bCs/>
                <w:i w:val="0"/>
                <w:iCs w:val="0"/>
                <w:color w:val="000000"/>
                <w:kern w:val="0"/>
                <w:sz w:val="20"/>
                <w:szCs w:val="20"/>
                <w:highlight w:val="none"/>
                <w:u w:val="none"/>
                <w:lang w:val="en-US" w:eastAsia="zh-CN" w:bidi="ar"/>
              </w:rPr>
              <w:t>计</w:t>
            </w:r>
          </w:p>
        </w:tc>
        <w:tc>
          <w:tcPr>
            <w:tcW w:w="821" w:type="dxa"/>
            <w:tcBorders>
              <w:top w:val="single" w:color="000000" w:sz="4" w:space="0"/>
              <w:left w:val="single" w:color="000000" w:sz="4" w:space="0"/>
              <w:bottom w:val="single" w:color="000000" w:sz="4" w:space="0"/>
              <w:right w:val="single" w:color="000000" w:sz="4" w:space="0"/>
            </w:tcBorders>
            <w:noWrap/>
            <w:vAlign w:val="center"/>
          </w:tcPr>
          <w:p w14:paraId="6F1C4549">
            <w:pPr>
              <w:keepNext w:val="0"/>
              <w:keepLines w:val="0"/>
              <w:widowControl/>
              <w:suppressLineNumbers w:val="0"/>
              <w:jc w:val="center"/>
              <w:textAlignment w:val="center"/>
              <w:rPr>
                <w:rFonts w:hint="default" w:ascii="Times New Roman" w:hAnsi="Times New Roman" w:eastAsia="仿宋" w:cs="Times New Roman"/>
                <w:b/>
                <w:bCs/>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320</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142AA0C6">
            <w:pPr>
              <w:keepNext w:val="0"/>
              <w:keepLines w:val="0"/>
              <w:widowControl/>
              <w:suppressLineNumbers w:val="0"/>
              <w:jc w:val="center"/>
              <w:textAlignment w:val="center"/>
              <w:rPr>
                <w:rFonts w:hint="default" w:ascii="Times New Roman" w:hAnsi="Times New Roman" w:eastAsia="仿宋" w:cs="Times New Roman"/>
                <w:b/>
                <w:bCs/>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 xml:space="preserve">131.00 </w:t>
            </w:r>
          </w:p>
        </w:tc>
        <w:tc>
          <w:tcPr>
            <w:tcW w:w="1416" w:type="dxa"/>
            <w:tcBorders>
              <w:top w:val="single" w:color="000000" w:sz="4" w:space="0"/>
              <w:left w:val="single" w:color="000000" w:sz="4" w:space="0"/>
              <w:bottom w:val="single" w:color="000000" w:sz="4" w:space="0"/>
              <w:right w:val="single" w:color="000000" w:sz="4" w:space="0"/>
            </w:tcBorders>
            <w:noWrap/>
            <w:vAlign w:val="center"/>
          </w:tcPr>
          <w:p w14:paraId="28364777">
            <w:pPr>
              <w:keepNext w:val="0"/>
              <w:keepLines w:val="0"/>
              <w:widowControl/>
              <w:suppressLineNumbers w:val="0"/>
              <w:jc w:val="center"/>
              <w:textAlignment w:val="center"/>
              <w:rPr>
                <w:rFonts w:hint="default" w:ascii="Times New Roman" w:hAnsi="Times New Roman" w:eastAsia="仿宋" w:cs="Times New Roman"/>
                <w:b/>
                <w:bCs/>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4956</w:t>
            </w:r>
          </w:p>
        </w:tc>
        <w:tc>
          <w:tcPr>
            <w:tcW w:w="1166" w:type="dxa"/>
            <w:tcBorders>
              <w:top w:val="single" w:color="000000" w:sz="4" w:space="0"/>
              <w:left w:val="single" w:color="000000" w:sz="4" w:space="0"/>
              <w:bottom w:val="single" w:color="000000" w:sz="4" w:space="0"/>
              <w:right w:val="single" w:color="000000" w:sz="4" w:space="0"/>
            </w:tcBorders>
            <w:noWrap/>
            <w:vAlign w:val="center"/>
          </w:tcPr>
          <w:p w14:paraId="45A9A663">
            <w:pPr>
              <w:keepNext w:val="0"/>
              <w:keepLines w:val="0"/>
              <w:widowControl/>
              <w:suppressLineNumbers w:val="0"/>
              <w:jc w:val="center"/>
              <w:textAlignment w:val="center"/>
              <w:rPr>
                <w:rFonts w:hint="default" w:ascii="Times New Roman" w:hAnsi="Times New Roman" w:eastAsia="仿宋" w:cs="Times New Roman"/>
                <w:b/>
                <w:bCs/>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6108</w:t>
            </w:r>
          </w:p>
        </w:tc>
        <w:tc>
          <w:tcPr>
            <w:tcW w:w="1417" w:type="dxa"/>
            <w:tcBorders>
              <w:top w:val="single" w:color="000000" w:sz="4" w:space="0"/>
              <w:left w:val="single" w:color="000000" w:sz="4" w:space="0"/>
              <w:bottom w:val="single" w:color="000000" w:sz="4" w:space="0"/>
              <w:right w:val="single" w:color="000000" w:sz="4" w:space="0"/>
            </w:tcBorders>
            <w:noWrap/>
            <w:vAlign w:val="center"/>
          </w:tcPr>
          <w:p w14:paraId="37B2949E">
            <w:pPr>
              <w:keepNext w:val="0"/>
              <w:keepLines w:val="0"/>
              <w:widowControl/>
              <w:suppressLineNumbers w:val="0"/>
              <w:jc w:val="center"/>
              <w:textAlignment w:val="center"/>
              <w:rPr>
                <w:rFonts w:hint="default" w:ascii="Times New Roman" w:hAnsi="Times New Roman" w:eastAsia="仿宋" w:cs="Times New Roman"/>
                <w:b/>
                <w:bCs/>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0"/>
                <w:szCs w:val="20"/>
                <w:highlight w:val="none"/>
                <w:u w:val="none"/>
                <w:lang w:val="en-US" w:eastAsia="zh-CN" w:bidi="ar"/>
              </w:rPr>
              <w:t>2360</w:t>
            </w:r>
          </w:p>
        </w:tc>
      </w:tr>
      <w:tr w14:paraId="0113E7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2" w:hRule="atLeast"/>
        </w:trPr>
        <w:tc>
          <w:tcPr>
            <w:tcW w:w="1075" w:type="dxa"/>
            <w:tcBorders>
              <w:top w:val="single" w:color="000000" w:sz="4" w:space="0"/>
              <w:left w:val="single" w:color="000000" w:sz="4" w:space="0"/>
              <w:bottom w:val="single" w:color="000000" w:sz="4" w:space="0"/>
              <w:right w:val="single" w:color="000000" w:sz="4" w:space="0"/>
            </w:tcBorders>
            <w:noWrap/>
            <w:vAlign w:val="center"/>
          </w:tcPr>
          <w:p w14:paraId="70AF61E0">
            <w:pPr>
              <w:keepNext w:val="0"/>
              <w:keepLines w:val="0"/>
              <w:widowControl/>
              <w:suppressLineNumbers w:val="0"/>
              <w:jc w:val="center"/>
              <w:textAlignment w:val="center"/>
              <w:rPr>
                <w:rFonts w:hint="default" w:ascii="Times New Roman" w:hAnsi="Times New Roman" w:eastAsia="仿宋" w:cs="Times New Roman"/>
                <w:i w:val="0"/>
                <w:iCs w:val="0"/>
                <w:color w:val="auto"/>
                <w:sz w:val="20"/>
                <w:szCs w:val="20"/>
                <w:highlight w:val="none"/>
                <w:u w:val="none"/>
              </w:rPr>
            </w:pPr>
            <w:r>
              <w:rPr>
                <w:rFonts w:hint="eastAsia" w:ascii="仿宋" w:hAnsi="仿宋" w:eastAsia="仿宋" w:cs="仿宋"/>
                <w:i w:val="0"/>
                <w:iCs w:val="0"/>
                <w:color w:val="000000"/>
                <w:kern w:val="0"/>
                <w:sz w:val="20"/>
                <w:szCs w:val="20"/>
                <w:highlight w:val="none"/>
                <w:u w:val="none"/>
                <w:lang w:val="en-US" w:eastAsia="zh-CN" w:bidi="ar"/>
              </w:rPr>
              <w:t>东简街道</w:t>
            </w:r>
          </w:p>
        </w:tc>
        <w:tc>
          <w:tcPr>
            <w:tcW w:w="1068" w:type="dxa"/>
            <w:tcBorders>
              <w:top w:val="single" w:color="000000" w:sz="4" w:space="0"/>
              <w:left w:val="single" w:color="000000" w:sz="4" w:space="0"/>
              <w:bottom w:val="single" w:color="000000" w:sz="4" w:space="0"/>
              <w:right w:val="single" w:color="000000" w:sz="4" w:space="0"/>
            </w:tcBorders>
            <w:noWrap/>
            <w:vAlign w:val="center"/>
          </w:tcPr>
          <w:p w14:paraId="428254C0">
            <w:pPr>
              <w:keepNext w:val="0"/>
              <w:keepLines w:val="0"/>
              <w:widowControl/>
              <w:suppressLineNumbers w:val="0"/>
              <w:jc w:val="center"/>
              <w:textAlignment w:val="center"/>
              <w:rPr>
                <w:rFonts w:hint="default" w:ascii="Times New Roman" w:hAnsi="Times New Roman" w:eastAsia="仿宋" w:cs="Times New Roman"/>
                <w:i w:val="0"/>
                <w:iCs w:val="0"/>
                <w:color w:val="auto"/>
                <w:sz w:val="20"/>
                <w:szCs w:val="20"/>
                <w:highlight w:val="none"/>
                <w:u w:val="none"/>
              </w:rPr>
            </w:pPr>
            <w:r>
              <w:rPr>
                <w:rFonts w:hint="eastAsia" w:ascii="仿宋" w:hAnsi="仿宋" w:eastAsia="仿宋" w:cs="仿宋"/>
                <w:i w:val="0"/>
                <w:iCs w:val="0"/>
                <w:color w:val="000000"/>
                <w:kern w:val="0"/>
                <w:sz w:val="20"/>
                <w:szCs w:val="20"/>
                <w:highlight w:val="none"/>
                <w:u w:val="none"/>
                <w:lang w:val="en-US" w:eastAsia="zh-CN" w:bidi="ar"/>
              </w:rPr>
              <w:t>蔚律村</w:t>
            </w:r>
          </w:p>
        </w:tc>
        <w:tc>
          <w:tcPr>
            <w:tcW w:w="720" w:type="dxa"/>
            <w:tcBorders>
              <w:top w:val="single" w:color="000000" w:sz="4" w:space="0"/>
              <w:left w:val="single" w:color="000000" w:sz="4" w:space="0"/>
              <w:bottom w:val="single" w:color="000000" w:sz="4" w:space="0"/>
              <w:right w:val="single" w:color="000000" w:sz="4" w:space="0"/>
            </w:tcBorders>
            <w:noWrap/>
            <w:vAlign w:val="center"/>
          </w:tcPr>
          <w:p w14:paraId="35138F4C">
            <w:pPr>
              <w:keepNext w:val="0"/>
              <w:keepLines w:val="0"/>
              <w:widowControl/>
              <w:suppressLineNumbers w:val="0"/>
              <w:jc w:val="center"/>
              <w:textAlignment w:val="center"/>
              <w:rPr>
                <w:rFonts w:hint="default" w:ascii="Times New Roman" w:hAnsi="Times New Roman" w:eastAsia="仿宋" w:cs="Times New Roman"/>
                <w:i w:val="0"/>
                <w:iCs w:val="0"/>
                <w:color w:val="auto"/>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821" w:type="dxa"/>
            <w:tcBorders>
              <w:top w:val="single" w:color="000000" w:sz="4" w:space="0"/>
              <w:left w:val="single" w:color="000000" w:sz="4" w:space="0"/>
              <w:bottom w:val="single" w:color="000000" w:sz="4" w:space="0"/>
              <w:right w:val="single" w:color="000000" w:sz="4" w:space="0"/>
            </w:tcBorders>
            <w:noWrap/>
            <w:vAlign w:val="center"/>
          </w:tcPr>
          <w:p w14:paraId="62301884">
            <w:pPr>
              <w:keepNext w:val="0"/>
              <w:keepLines w:val="0"/>
              <w:widowControl/>
              <w:suppressLineNumbers w:val="0"/>
              <w:jc w:val="center"/>
              <w:textAlignment w:val="center"/>
              <w:rPr>
                <w:rFonts w:hint="default" w:ascii="Times New Roman" w:hAnsi="Times New Roman" w:eastAsia="仿宋"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54647BF6">
            <w:pPr>
              <w:keepNext w:val="0"/>
              <w:keepLines w:val="0"/>
              <w:widowControl/>
              <w:suppressLineNumbers w:val="0"/>
              <w:jc w:val="center"/>
              <w:textAlignment w:val="center"/>
              <w:rPr>
                <w:rFonts w:hint="default" w:ascii="Times New Roman" w:hAnsi="Times New Roman" w:eastAsia="仿宋"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 xml:space="preserve">8.45 </w:t>
            </w:r>
          </w:p>
        </w:tc>
        <w:tc>
          <w:tcPr>
            <w:tcW w:w="1416" w:type="dxa"/>
            <w:tcBorders>
              <w:top w:val="single" w:color="000000" w:sz="4" w:space="0"/>
              <w:left w:val="single" w:color="000000" w:sz="4" w:space="0"/>
              <w:bottom w:val="single" w:color="000000" w:sz="4" w:space="0"/>
              <w:right w:val="single" w:color="000000" w:sz="4" w:space="0"/>
            </w:tcBorders>
            <w:noWrap/>
            <w:vAlign w:val="center"/>
          </w:tcPr>
          <w:p w14:paraId="77943C32">
            <w:pPr>
              <w:keepNext w:val="0"/>
              <w:keepLines w:val="0"/>
              <w:widowControl/>
              <w:suppressLineNumbers w:val="0"/>
              <w:jc w:val="center"/>
              <w:textAlignment w:val="center"/>
              <w:rPr>
                <w:rFonts w:hint="default" w:ascii="Times New Roman" w:hAnsi="Times New Roman" w:eastAsia="仿宋"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 xml:space="preserve">126 </w:t>
            </w:r>
          </w:p>
        </w:tc>
        <w:tc>
          <w:tcPr>
            <w:tcW w:w="1166" w:type="dxa"/>
            <w:tcBorders>
              <w:top w:val="single" w:color="000000" w:sz="4" w:space="0"/>
              <w:left w:val="single" w:color="000000" w:sz="4" w:space="0"/>
              <w:bottom w:val="single" w:color="000000" w:sz="4" w:space="0"/>
              <w:right w:val="single" w:color="000000" w:sz="4" w:space="0"/>
            </w:tcBorders>
            <w:noWrap w:val="0"/>
            <w:vAlign w:val="center"/>
          </w:tcPr>
          <w:p w14:paraId="6EC71F13">
            <w:pPr>
              <w:keepNext w:val="0"/>
              <w:keepLines w:val="0"/>
              <w:widowControl/>
              <w:suppressLineNumbers w:val="0"/>
              <w:jc w:val="center"/>
              <w:textAlignment w:val="center"/>
              <w:rPr>
                <w:rFonts w:hint="default" w:ascii="Times New Roman" w:hAnsi="Times New Roman" w:eastAsia="仿宋"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 xml:space="preserve">440 </w:t>
            </w:r>
          </w:p>
        </w:tc>
        <w:tc>
          <w:tcPr>
            <w:tcW w:w="1417" w:type="dxa"/>
            <w:tcBorders>
              <w:top w:val="single" w:color="000000" w:sz="4" w:space="0"/>
              <w:left w:val="single" w:color="000000" w:sz="4" w:space="0"/>
              <w:bottom w:val="single" w:color="000000" w:sz="4" w:space="0"/>
              <w:right w:val="single" w:color="000000" w:sz="4" w:space="0"/>
            </w:tcBorders>
            <w:noWrap w:val="0"/>
            <w:vAlign w:val="center"/>
          </w:tcPr>
          <w:p w14:paraId="0A1ECE95">
            <w:pPr>
              <w:keepNext w:val="0"/>
              <w:keepLines w:val="0"/>
              <w:widowControl/>
              <w:suppressLineNumbers w:val="0"/>
              <w:jc w:val="center"/>
              <w:textAlignment w:val="center"/>
              <w:rPr>
                <w:rFonts w:hint="default" w:ascii="Times New Roman" w:hAnsi="Times New Roman" w:eastAsia="仿宋"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0"/>
                <w:szCs w:val="20"/>
                <w:highlight w:val="none"/>
                <w:u w:val="none"/>
                <w:lang w:val="en-US" w:eastAsia="zh-CN" w:bidi="ar"/>
              </w:rPr>
              <w:t>60</w:t>
            </w:r>
          </w:p>
        </w:tc>
      </w:tr>
      <w:tr w14:paraId="480EFC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2" w:hRule="atLeast"/>
        </w:trPr>
        <w:tc>
          <w:tcPr>
            <w:tcW w:w="1075" w:type="dxa"/>
            <w:tcBorders>
              <w:top w:val="single" w:color="000000" w:sz="4" w:space="0"/>
              <w:left w:val="single" w:color="000000" w:sz="4" w:space="0"/>
              <w:bottom w:val="single" w:color="000000" w:sz="4" w:space="0"/>
              <w:right w:val="single" w:color="000000" w:sz="4" w:space="0"/>
            </w:tcBorders>
            <w:noWrap/>
            <w:vAlign w:val="center"/>
          </w:tcPr>
          <w:p w14:paraId="29061036">
            <w:pPr>
              <w:keepNext w:val="0"/>
              <w:keepLines w:val="0"/>
              <w:widowControl/>
              <w:suppressLineNumbers w:val="0"/>
              <w:jc w:val="center"/>
              <w:textAlignment w:val="center"/>
              <w:rPr>
                <w:rFonts w:hint="default" w:ascii="Times New Roman" w:hAnsi="Times New Roman" w:eastAsia="仿宋" w:cs="Times New Roman"/>
                <w:i w:val="0"/>
                <w:iCs w:val="0"/>
                <w:color w:val="auto"/>
                <w:sz w:val="20"/>
                <w:szCs w:val="20"/>
                <w:highlight w:val="none"/>
                <w:u w:val="none"/>
              </w:rPr>
            </w:pPr>
            <w:r>
              <w:rPr>
                <w:rFonts w:hint="eastAsia" w:ascii="仿宋" w:hAnsi="仿宋" w:eastAsia="仿宋" w:cs="仿宋"/>
                <w:i w:val="0"/>
                <w:iCs w:val="0"/>
                <w:color w:val="000000"/>
                <w:kern w:val="0"/>
                <w:sz w:val="20"/>
                <w:szCs w:val="20"/>
                <w:highlight w:val="none"/>
                <w:u w:val="none"/>
                <w:lang w:val="en-US" w:eastAsia="zh-CN" w:bidi="ar"/>
              </w:rPr>
              <w:t>东简街道</w:t>
            </w:r>
          </w:p>
        </w:tc>
        <w:tc>
          <w:tcPr>
            <w:tcW w:w="1068" w:type="dxa"/>
            <w:tcBorders>
              <w:top w:val="single" w:color="000000" w:sz="4" w:space="0"/>
              <w:left w:val="single" w:color="000000" w:sz="4" w:space="0"/>
              <w:bottom w:val="single" w:color="000000" w:sz="4" w:space="0"/>
              <w:right w:val="single" w:color="000000" w:sz="4" w:space="0"/>
            </w:tcBorders>
            <w:noWrap/>
            <w:vAlign w:val="center"/>
          </w:tcPr>
          <w:p w14:paraId="7E4AD0FE">
            <w:pPr>
              <w:keepNext w:val="0"/>
              <w:keepLines w:val="0"/>
              <w:widowControl/>
              <w:suppressLineNumbers w:val="0"/>
              <w:jc w:val="center"/>
              <w:textAlignment w:val="center"/>
              <w:rPr>
                <w:rFonts w:hint="default" w:ascii="Times New Roman" w:hAnsi="Times New Roman" w:eastAsia="仿宋" w:cs="Times New Roman"/>
                <w:i w:val="0"/>
                <w:iCs w:val="0"/>
                <w:color w:val="auto"/>
                <w:sz w:val="20"/>
                <w:szCs w:val="20"/>
                <w:highlight w:val="none"/>
                <w:u w:val="none"/>
              </w:rPr>
            </w:pPr>
            <w:r>
              <w:rPr>
                <w:rFonts w:hint="eastAsia" w:ascii="仿宋" w:hAnsi="仿宋" w:eastAsia="仿宋" w:cs="仿宋"/>
                <w:i w:val="0"/>
                <w:iCs w:val="0"/>
                <w:color w:val="000000"/>
                <w:kern w:val="0"/>
                <w:sz w:val="20"/>
                <w:szCs w:val="20"/>
                <w:highlight w:val="none"/>
                <w:u w:val="none"/>
                <w:lang w:val="en-US" w:eastAsia="zh-CN" w:bidi="ar"/>
              </w:rPr>
              <w:t>蔚律村</w:t>
            </w:r>
          </w:p>
        </w:tc>
        <w:tc>
          <w:tcPr>
            <w:tcW w:w="720" w:type="dxa"/>
            <w:tcBorders>
              <w:top w:val="single" w:color="000000" w:sz="4" w:space="0"/>
              <w:left w:val="single" w:color="000000" w:sz="4" w:space="0"/>
              <w:bottom w:val="single" w:color="000000" w:sz="4" w:space="0"/>
              <w:right w:val="single" w:color="000000" w:sz="4" w:space="0"/>
            </w:tcBorders>
            <w:noWrap/>
            <w:vAlign w:val="center"/>
          </w:tcPr>
          <w:p w14:paraId="25C54245">
            <w:pPr>
              <w:keepNext w:val="0"/>
              <w:keepLines w:val="0"/>
              <w:widowControl/>
              <w:suppressLineNumbers w:val="0"/>
              <w:jc w:val="center"/>
              <w:textAlignment w:val="center"/>
              <w:rPr>
                <w:rFonts w:hint="default" w:ascii="Times New Roman" w:hAnsi="Times New Roman" w:eastAsia="仿宋" w:cs="Times New Roman"/>
                <w:i w:val="0"/>
                <w:iCs w:val="0"/>
                <w:color w:val="auto"/>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821" w:type="dxa"/>
            <w:tcBorders>
              <w:top w:val="single" w:color="000000" w:sz="4" w:space="0"/>
              <w:left w:val="single" w:color="000000" w:sz="4" w:space="0"/>
              <w:bottom w:val="single" w:color="000000" w:sz="4" w:space="0"/>
              <w:right w:val="single" w:color="000000" w:sz="4" w:space="0"/>
            </w:tcBorders>
            <w:noWrap/>
            <w:vAlign w:val="center"/>
          </w:tcPr>
          <w:p w14:paraId="28F37C22">
            <w:pPr>
              <w:keepNext w:val="0"/>
              <w:keepLines w:val="0"/>
              <w:widowControl/>
              <w:suppressLineNumbers w:val="0"/>
              <w:jc w:val="center"/>
              <w:textAlignment w:val="center"/>
              <w:rPr>
                <w:rFonts w:hint="default" w:ascii="Times New Roman" w:hAnsi="Times New Roman" w:eastAsia="仿宋"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73D235DF">
            <w:pPr>
              <w:keepNext w:val="0"/>
              <w:keepLines w:val="0"/>
              <w:widowControl/>
              <w:suppressLineNumbers w:val="0"/>
              <w:jc w:val="center"/>
              <w:textAlignment w:val="center"/>
              <w:rPr>
                <w:rFonts w:hint="default" w:ascii="Times New Roman" w:hAnsi="Times New Roman" w:eastAsia="仿宋"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 xml:space="preserve">4.22 </w:t>
            </w:r>
          </w:p>
        </w:tc>
        <w:tc>
          <w:tcPr>
            <w:tcW w:w="1416" w:type="dxa"/>
            <w:tcBorders>
              <w:top w:val="single" w:color="000000" w:sz="4" w:space="0"/>
              <w:left w:val="single" w:color="000000" w:sz="4" w:space="0"/>
              <w:bottom w:val="single" w:color="000000" w:sz="4" w:space="0"/>
              <w:right w:val="single" w:color="000000" w:sz="4" w:space="0"/>
            </w:tcBorders>
            <w:noWrap/>
            <w:vAlign w:val="center"/>
          </w:tcPr>
          <w:p w14:paraId="5383FCD8">
            <w:pPr>
              <w:keepNext w:val="0"/>
              <w:keepLines w:val="0"/>
              <w:widowControl/>
              <w:suppressLineNumbers w:val="0"/>
              <w:jc w:val="center"/>
              <w:textAlignment w:val="center"/>
              <w:rPr>
                <w:rFonts w:hint="default" w:ascii="Times New Roman" w:hAnsi="Times New Roman" w:eastAsia="仿宋"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 xml:space="preserve">63 </w:t>
            </w:r>
          </w:p>
        </w:tc>
        <w:tc>
          <w:tcPr>
            <w:tcW w:w="1166" w:type="dxa"/>
            <w:tcBorders>
              <w:top w:val="single" w:color="000000" w:sz="4" w:space="0"/>
              <w:left w:val="single" w:color="000000" w:sz="4" w:space="0"/>
              <w:bottom w:val="single" w:color="000000" w:sz="4" w:space="0"/>
              <w:right w:val="single" w:color="000000" w:sz="4" w:space="0"/>
            </w:tcBorders>
            <w:noWrap w:val="0"/>
            <w:vAlign w:val="center"/>
          </w:tcPr>
          <w:p w14:paraId="5217E8AA">
            <w:pPr>
              <w:keepNext w:val="0"/>
              <w:keepLines w:val="0"/>
              <w:widowControl/>
              <w:suppressLineNumbers w:val="0"/>
              <w:jc w:val="center"/>
              <w:textAlignment w:val="center"/>
              <w:rPr>
                <w:rFonts w:hint="default" w:ascii="Times New Roman" w:hAnsi="Times New Roman" w:eastAsia="仿宋"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 xml:space="preserve">220 </w:t>
            </w:r>
          </w:p>
        </w:tc>
        <w:tc>
          <w:tcPr>
            <w:tcW w:w="1417" w:type="dxa"/>
            <w:tcBorders>
              <w:top w:val="single" w:color="000000" w:sz="4" w:space="0"/>
              <w:left w:val="single" w:color="000000" w:sz="4" w:space="0"/>
              <w:bottom w:val="single" w:color="000000" w:sz="4" w:space="0"/>
              <w:right w:val="single" w:color="000000" w:sz="4" w:space="0"/>
            </w:tcBorders>
            <w:noWrap w:val="0"/>
            <w:vAlign w:val="center"/>
          </w:tcPr>
          <w:p w14:paraId="3FAC41B9">
            <w:pPr>
              <w:keepNext w:val="0"/>
              <w:keepLines w:val="0"/>
              <w:widowControl/>
              <w:suppressLineNumbers w:val="0"/>
              <w:jc w:val="center"/>
              <w:textAlignment w:val="center"/>
              <w:rPr>
                <w:rFonts w:hint="default" w:ascii="Times New Roman" w:hAnsi="Times New Roman" w:eastAsia="仿宋"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0"/>
                <w:szCs w:val="20"/>
                <w:highlight w:val="none"/>
                <w:u w:val="none"/>
                <w:lang w:val="en-US" w:eastAsia="zh-CN" w:bidi="ar"/>
              </w:rPr>
              <w:t>30</w:t>
            </w:r>
          </w:p>
        </w:tc>
      </w:tr>
      <w:tr w14:paraId="2572E5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2" w:hRule="atLeast"/>
        </w:trPr>
        <w:tc>
          <w:tcPr>
            <w:tcW w:w="1075" w:type="dxa"/>
            <w:tcBorders>
              <w:top w:val="single" w:color="000000" w:sz="4" w:space="0"/>
              <w:left w:val="single" w:color="000000" w:sz="4" w:space="0"/>
              <w:bottom w:val="single" w:color="000000" w:sz="4" w:space="0"/>
              <w:right w:val="single" w:color="000000" w:sz="4" w:space="0"/>
            </w:tcBorders>
            <w:noWrap/>
            <w:vAlign w:val="center"/>
          </w:tcPr>
          <w:p w14:paraId="0EC46015">
            <w:pPr>
              <w:keepNext w:val="0"/>
              <w:keepLines w:val="0"/>
              <w:widowControl/>
              <w:suppressLineNumbers w:val="0"/>
              <w:jc w:val="center"/>
              <w:textAlignment w:val="center"/>
              <w:rPr>
                <w:rFonts w:hint="default" w:ascii="Times New Roman" w:hAnsi="Times New Roman" w:eastAsia="仿宋" w:cs="Times New Roman"/>
                <w:i w:val="0"/>
                <w:iCs w:val="0"/>
                <w:color w:val="auto"/>
                <w:sz w:val="20"/>
                <w:szCs w:val="20"/>
                <w:highlight w:val="none"/>
                <w:u w:val="none"/>
              </w:rPr>
            </w:pPr>
            <w:r>
              <w:rPr>
                <w:rFonts w:hint="eastAsia" w:ascii="仿宋" w:hAnsi="仿宋" w:eastAsia="仿宋" w:cs="仿宋"/>
                <w:i w:val="0"/>
                <w:iCs w:val="0"/>
                <w:color w:val="000000"/>
                <w:kern w:val="0"/>
                <w:sz w:val="20"/>
                <w:szCs w:val="20"/>
                <w:highlight w:val="none"/>
                <w:u w:val="none"/>
                <w:lang w:val="en-US" w:eastAsia="zh-CN" w:bidi="ar"/>
              </w:rPr>
              <w:t>东简街道</w:t>
            </w:r>
          </w:p>
        </w:tc>
        <w:tc>
          <w:tcPr>
            <w:tcW w:w="1068" w:type="dxa"/>
            <w:tcBorders>
              <w:top w:val="single" w:color="000000" w:sz="4" w:space="0"/>
              <w:left w:val="single" w:color="000000" w:sz="4" w:space="0"/>
              <w:bottom w:val="single" w:color="000000" w:sz="4" w:space="0"/>
              <w:right w:val="single" w:color="000000" w:sz="4" w:space="0"/>
            </w:tcBorders>
            <w:noWrap/>
            <w:vAlign w:val="center"/>
          </w:tcPr>
          <w:p w14:paraId="1B813189">
            <w:pPr>
              <w:keepNext w:val="0"/>
              <w:keepLines w:val="0"/>
              <w:widowControl/>
              <w:suppressLineNumbers w:val="0"/>
              <w:jc w:val="center"/>
              <w:textAlignment w:val="center"/>
              <w:rPr>
                <w:rFonts w:hint="default" w:ascii="Times New Roman" w:hAnsi="Times New Roman" w:eastAsia="仿宋" w:cs="Times New Roman"/>
                <w:i w:val="0"/>
                <w:iCs w:val="0"/>
                <w:color w:val="auto"/>
                <w:sz w:val="20"/>
                <w:szCs w:val="20"/>
                <w:highlight w:val="none"/>
                <w:u w:val="none"/>
              </w:rPr>
            </w:pPr>
            <w:r>
              <w:rPr>
                <w:rFonts w:hint="eastAsia" w:ascii="仿宋" w:hAnsi="仿宋" w:eastAsia="仿宋" w:cs="仿宋"/>
                <w:i w:val="0"/>
                <w:iCs w:val="0"/>
                <w:color w:val="000000"/>
                <w:kern w:val="0"/>
                <w:sz w:val="20"/>
                <w:szCs w:val="20"/>
                <w:highlight w:val="none"/>
                <w:u w:val="none"/>
                <w:lang w:val="en-US" w:eastAsia="zh-CN" w:bidi="ar"/>
              </w:rPr>
              <w:t>蔚律村</w:t>
            </w:r>
          </w:p>
        </w:tc>
        <w:tc>
          <w:tcPr>
            <w:tcW w:w="720" w:type="dxa"/>
            <w:tcBorders>
              <w:top w:val="single" w:color="000000" w:sz="4" w:space="0"/>
              <w:left w:val="single" w:color="000000" w:sz="4" w:space="0"/>
              <w:bottom w:val="single" w:color="000000" w:sz="4" w:space="0"/>
              <w:right w:val="single" w:color="000000" w:sz="4" w:space="0"/>
            </w:tcBorders>
            <w:noWrap/>
            <w:vAlign w:val="center"/>
          </w:tcPr>
          <w:p w14:paraId="6AF0F20C">
            <w:pPr>
              <w:keepNext w:val="0"/>
              <w:keepLines w:val="0"/>
              <w:widowControl/>
              <w:suppressLineNumbers w:val="0"/>
              <w:jc w:val="center"/>
              <w:textAlignment w:val="center"/>
              <w:rPr>
                <w:rFonts w:hint="default" w:ascii="Times New Roman" w:hAnsi="Times New Roman" w:eastAsia="仿宋" w:cs="Times New Roman"/>
                <w:i w:val="0"/>
                <w:iCs w:val="0"/>
                <w:color w:val="auto"/>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821" w:type="dxa"/>
            <w:tcBorders>
              <w:top w:val="single" w:color="000000" w:sz="4" w:space="0"/>
              <w:left w:val="single" w:color="000000" w:sz="4" w:space="0"/>
              <w:bottom w:val="single" w:color="000000" w:sz="4" w:space="0"/>
              <w:right w:val="single" w:color="000000" w:sz="4" w:space="0"/>
            </w:tcBorders>
            <w:noWrap/>
            <w:vAlign w:val="center"/>
          </w:tcPr>
          <w:p w14:paraId="7E96B1C5">
            <w:pPr>
              <w:keepNext w:val="0"/>
              <w:keepLines w:val="0"/>
              <w:widowControl/>
              <w:suppressLineNumbers w:val="0"/>
              <w:jc w:val="center"/>
              <w:textAlignment w:val="center"/>
              <w:rPr>
                <w:rFonts w:hint="default" w:ascii="Times New Roman" w:hAnsi="Times New Roman" w:eastAsia="仿宋"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2C39F3E1">
            <w:pPr>
              <w:keepNext w:val="0"/>
              <w:keepLines w:val="0"/>
              <w:widowControl/>
              <w:suppressLineNumbers w:val="0"/>
              <w:jc w:val="center"/>
              <w:textAlignment w:val="center"/>
              <w:rPr>
                <w:rFonts w:hint="default" w:ascii="Times New Roman" w:hAnsi="Times New Roman" w:eastAsia="仿宋"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 xml:space="preserve">5.50 </w:t>
            </w:r>
          </w:p>
        </w:tc>
        <w:tc>
          <w:tcPr>
            <w:tcW w:w="1416" w:type="dxa"/>
            <w:tcBorders>
              <w:top w:val="single" w:color="000000" w:sz="4" w:space="0"/>
              <w:left w:val="single" w:color="000000" w:sz="4" w:space="0"/>
              <w:bottom w:val="single" w:color="000000" w:sz="4" w:space="0"/>
              <w:right w:val="single" w:color="000000" w:sz="4" w:space="0"/>
            </w:tcBorders>
            <w:noWrap/>
            <w:vAlign w:val="center"/>
          </w:tcPr>
          <w:p w14:paraId="7CF82C5B">
            <w:pPr>
              <w:keepNext w:val="0"/>
              <w:keepLines w:val="0"/>
              <w:widowControl/>
              <w:suppressLineNumbers w:val="0"/>
              <w:jc w:val="center"/>
              <w:textAlignment w:val="center"/>
              <w:rPr>
                <w:rFonts w:hint="default" w:ascii="Times New Roman" w:hAnsi="Times New Roman" w:eastAsia="仿宋"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 xml:space="preserve">82 </w:t>
            </w:r>
          </w:p>
        </w:tc>
        <w:tc>
          <w:tcPr>
            <w:tcW w:w="1166" w:type="dxa"/>
            <w:tcBorders>
              <w:top w:val="single" w:color="000000" w:sz="4" w:space="0"/>
              <w:left w:val="single" w:color="000000" w:sz="4" w:space="0"/>
              <w:bottom w:val="single" w:color="000000" w:sz="4" w:space="0"/>
              <w:right w:val="single" w:color="000000" w:sz="4" w:space="0"/>
            </w:tcBorders>
            <w:noWrap w:val="0"/>
            <w:vAlign w:val="center"/>
          </w:tcPr>
          <w:p w14:paraId="3598EF00">
            <w:pPr>
              <w:keepNext w:val="0"/>
              <w:keepLines w:val="0"/>
              <w:widowControl/>
              <w:suppressLineNumbers w:val="0"/>
              <w:jc w:val="center"/>
              <w:textAlignment w:val="center"/>
              <w:rPr>
                <w:rFonts w:hint="default" w:ascii="Times New Roman" w:hAnsi="Times New Roman" w:eastAsia="仿宋"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 xml:space="preserve">286 </w:t>
            </w:r>
          </w:p>
        </w:tc>
        <w:tc>
          <w:tcPr>
            <w:tcW w:w="1417" w:type="dxa"/>
            <w:tcBorders>
              <w:top w:val="single" w:color="000000" w:sz="4" w:space="0"/>
              <w:left w:val="single" w:color="000000" w:sz="4" w:space="0"/>
              <w:bottom w:val="single" w:color="000000" w:sz="4" w:space="0"/>
              <w:right w:val="single" w:color="000000" w:sz="4" w:space="0"/>
            </w:tcBorders>
            <w:noWrap w:val="0"/>
            <w:vAlign w:val="center"/>
          </w:tcPr>
          <w:p w14:paraId="24A391F8">
            <w:pPr>
              <w:keepNext w:val="0"/>
              <w:keepLines w:val="0"/>
              <w:widowControl/>
              <w:suppressLineNumbers w:val="0"/>
              <w:jc w:val="center"/>
              <w:textAlignment w:val="center"/>
              <w:rPr>
                <w:rFonts w:hint="default" w:ascii="Times New Roman" w:hAnsi="Times New Roman" w:eastAsia="仿宋"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0"/>
                <w:szCs w:val="20"/>
                <w:highlight w:val="none"/>
                <w:u w:val="none"/>
                <w:lang w:val="en-US" w:eastAsia="zh-CN" w:bidi="ar"/>
              </w:rPr>
              <w:t>39</w:t>
            </w:r>
          </w:p>
        </w:tc>
      </w:tr>
      <w:tr w14:paraId="4A8A22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2" w:hRule="atLeast"/>
        </w:trPr>
        <w:tc>
          <w:tcPr>
            <w:tcW w:w="1075" w:type="dxa"/>
            <w:tcBorders>
              <w:top w:val="single" w:color="000000" w:sz="4" w:space="0"/>
              <w:left w:val="single" w:color="000000" w:sz="4" w:space="0"/>
              <w:bottom w:val="single" w:color="000000" w:sz="4" w:space="0"/>
              <w:right w:val="single" w:color="000000" w:sz="4" w:space="0"/>
            </w:tcBorders>
            <w:noWrap/>
            <w:vAlign w:val="center"/>
          </w:tcPr>
          <w:p w14:paraId="24DD1072">
            <w:pPr>
              <w:keepNext w:val="0"/>
              <w:keepLines w:val="0"/>
              <w:widowControl/>
              <w:suppressLineNumbers w:val="0"/>
              <w:jc w:val="center"/>
              <w:textAlignment w:val="center"/>
              <w:rPr>
                <w:rFonts w:hint="default" w:ascii="Times New Roman" w:hAnsi="Times New Roman" w:eastAsia="仿宋" w:cs="Times New Roman"/>
                <w:i w:val="0"/>
                <w:iCs w:val="0"/>
                <w:color w:val="auto"/>
                <w:sz w:val="20"/>
                <w:szCs w:val="20"/>
                <w:highlight w:val="none"/>
                <w:u w:val="none"/>
              </w:rPr>
            </w:pPr>
            <w:r>
              <w:rPr>
                <w:rFonts w:hint="eastAsia" w:ascii="仿宋" w:hAnsi="仿宋" w:eastAsia="仿宋" w:cs="仿宋"/>
                <w:i w:val="0"/>
                <w:iCs w:val="0"/>
                <w:color w:val="000000"/>
                <w:kern w:val="0"/>
                <w:sz w:val="20"/>
                <w:szCs w:val="20"/>
                <w:highlight w:val="none"/>
                <w:u w:val="none"/>
                <w:lang w:val="en-US" w:eastAsia="zh-CN" w:bidi="ar"/>
              </w:rPr>
              <w:t>东简街道</w:t>
            </w:r>
          </w:p>
        </w:tc>
        <w:tc>
          <w:tcPr>
            <w:tcW w:w="1068" w:type="dxa"/>
            <w:tcBorders>
              <w:top w:val="single" w:color="000000" w:sz="4" w:space="0"/>
              <w:left w:val="single" w:color="000000" w:sz="4" w:space="0"/>
              <w:bottom w:val="single" w:color="000000" w:sz="4" w:space="0"/>
              <w:right w:val="single" w:color="000000" w:sz="4" w:space="0"/>
            </w:tcBorders>
            <w:noWrap/>
            <w:vAlign w:val="center"/>
          </w:tcPr>
          <w:p w14:paraId="6F40FE0A">
            <w:pPr>
              <w:keepNext w:val="0"/>
              <w:keepLines w:val="0"/>
              <w:widowControl/>
              <w:suppressLineNumbers w:val="0"/>
              <w:jc w:val="center"/>
              <w:textAlignment w:val="center"/>
              <w:rPr>
                <w:rFonts w:hint="default" w:ascii="Times New Roman" w:hAnsi="Times New Roman" w:eastAsia="仿宋" w:cs="Times New Roman"/>
                <w:i w:val="0"/>
                <w:iCs w:val="0"/>
                <w:color w:val="auto"/>
                <w:sz w:val="20"/>
                <w:szCs w:val="20"/>
                <w:highlight w:val="none"/>
                <w:u w:val="none"/>
              </w:rPr>
            </w:pPr>
            <w:r>
              <w:rPr>
                <w:rFonts w:hint="eastAsia" w:ascii="仿宋" w:hAnsi="仿宋" w:eastAsia="仿宋" w:cs="仿宋"/>
                <w:i w:val="0"/>
                <w:iCs w:val="0"/>
                <w:color w:val="000000"/>
                <w:kern w:val="0"/>
                <w:sz w:val="20"/>
                <w:szCs w:val="20"/>
                <w:highlight w:val="none"/>
                <w:u w:val="none"/>
                <w:lang w:val="en-US" w:eastAsia="zh-CN" w:bidi="ar"/>
              </w:rPr>
              <w:t>蔚律村</w:t>
            </w:r>
          </w:p>
        </w:tc>
        <w:tc>
          <w:tcPr>
            <w:tcW w:w="720" w:type="dxa"/>
            <w:tcBorders>
              <w:top w:val="single" w:color="000000" w:sz="4" w:space="0"/>
              <w:left w:val="single" w:color="000000" w:sz="4" w:space="0"/>
              <w:bottom w:val="single" w:color="000000" w:sz="4" w:space="0"/>
              <w:right w:val="single" w:color="000000" w:sz="4" w:space="0"/>
            </w:tcBorders>
            <w:noWrap/>
            <w:vAlign w:val="center"/>
          </w:tcPr>
          <w:p w14:paraId="039D4DC4">
            <w:pPr>
              <w:keepNext w:val="0"/>
              <w:keepLines w:val="0"/>
              <w:widowControl/>
              <w:suppressLineNumbers w:val="0"/>
              <w:jc w:val="center"/>
              <w:textAlignment w:val="center"/>
              <w:rPr>
                <w:rFonts w:hint="default" w:ascii="Times New Roman" w:hAnsi="Times New Roman" w:eastAsia="仿宋" w:cs="Times New Roman"/>
                <w:i w:val="0"/>
                <w:iCs w:val="0"/>
                <w:color w:val="auto"/>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821" w:type="dxa"/>
            <w:tcBorders>
              <w:top w:val="single" w:color="000000" w:sz="4" w:space="0"/>
              <w:left w:val="single" w:color="000000" w:sz="4" w:space="0"/>
              <w:bottom w:val="single" w:color="000000" w:sz="4" w:space="0"/>
              <w:right w:val="single" w:color="000000" w:sz="4" w:space="0"/>
            </w:tcBorders>
            <w:noWrap/>
            <w:vAlign w:val="center"/>
          </w:tcPr>
          <w:p w14:paraId="082DEB17">
            <w:pPr>
              <w:keepNext w:val="0"/>
              <w:keepLines w:val="0"/>
              <w:widowControl/>
              <w:suppressLineNumbers w:val="0"/>
              <w:jc w:val="center"/>
              <w:textAlignment w:val="center"/>
              <w:rPr>
                <w:rFonts w:hint="default" w:ascii="Times New Roman" w:hAnsi="Times New Roman" w:eastAsia="仿宋"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77</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139071AC">
            <w:pPr>
              <w:keepNext w:val="0"/>
              <w:keepLines w:val="0"/>
              <w:widowControl/>
              <w:suppressLineNumbers w:val="0"/>
              <w:jc w:val="center"/>
              <w:textAlignment w:val="center"/>
              <w:rPr>
                <w:rFonts w:hint="default" w:ascii="Times New Roman" w:hAnsi="Times New Roman" w:eastAsia="仿宋"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 xml:space="preserve">32.52 </w:t>
            </w:r>
          </w:p>
        </w:tc>
        <w:tc>
          <w:tcPr>
            <w:tcW w:w="1416" w:type="dxa"/>
            <w:tcBorders>
              <w:top w:val="single" w:color="000000" w:sz="4" w:space="0"/>
              <w:left w:val="single" w:color="000000" w:sz="4" w:space="0"/>
              <w:bottom w:val="single" w:color="000000" w:sz="4" w:space="0"/>
              <w:right w:val="single" w:color="000000" w:sz="4" w:space="0"/>
            </w:tcBorders>
            <w:noWrap/>
            <w:vAlign w:val="center"/>
          </w:tcPr>
          <w:p w14:paraId="7EE5969F">
            <w:pPr>
              <w:keepNext w:val="0"/>
              <w:keepLines w:val="0"/>
              <w:widowControl/>
              <w:suppressLineNumbers w:val="0"/>
              <w:jc w:val="center"/>
              <w:textAlignment w:val="center"/>
              <w:rPr>
                <w:rFonts w:hint="default" w:ascii="Times New Roman" w:hAnsi="Times New Roman" w:eastAsia="仿宋"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 xml:space="preserve">485 </w:t>
            </w:r>
          </w:p>
        </w:tc>
        <w:tc>
          <w:tcPr>
            <w:tcW w:w="1166" w:type="dxa"/>
            <w:tcBorders>
              <w:top w:val="single" w:color="000000" w:sz="4" w:space="0"/>
              <w:left w:val="single" w:color="000000" w:sz="4" w:space="0"/>
              <w:bottom w:val="single" w:color="000000" w:sz="4" w:space="0"/>
              <w:right w:val="single" w:color="000000" w:sz="4" w:space="0"/>
            </w:tcBorders>
            <w:noWrap w:val="0"/>
            <w:vAlign w:val="center"/>
          </w:tcPr>
          <w:p w14:paraId="34050811">
            <w:pPr>
              <w:keepNext w:val="0"/>
              <w:keepLines w:val="0"/>
              <w:widowControl/>
              <w:suppressLineNumbers w:val="0"/>
              <w:jc w:val="center"/>
              <w:textAlignment w:val="center"/>
              <w:rPr>
                <w:rFonts w:hint="default" w:ascii="Times New Roman" w:hAnsi="Times New Roman" w:eastAsia="仿宋"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 xml:space="preserve">1694 </w:t>
            </w:r>
          </w:p>
        </w:tc>
        <w:tc>
          <w:tcPr>
            <w:tcW w:w="1417" w:type="dxa"/>
            <w:tcBorders>
              <w:top w:val="single" w:color="000000" w:sz="4" w:space="0"/>
              <w:left w:val="single" w:color="000000" w:sz="4" w:space="0"/>
              <w:bottom w:val="single" w:color="000000" w:sz="4" w:space="0"/>
              <w:right w:val="single" w:color="000000" w:sz="4" w:space="0"/>
            </w:tcBorders>
            <w:noWrap w:val="0"/>
            <w:vAlign w:val="center"/>
          </w:tcPr>
          <w:p w14:paraId="0C95C556">
            <w:pPr>
              <w:keepNext w:val="0"/>
              <w:keepLines w:val="0"/>
              <w:widowControl/>
              <w:suppressLineNumbers w:val="0"/>
              <w:jc w:val="center"/>
              <w:textAlignment w:val="center"/>
              <w:rPr>
                <w:rFonts w:hint="default" w:ascii="Times New Roman" w:hAnsi="Times New Roman" w:eastAsia="仿宋"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0"/>
                <w:szCs w:val="20"/>
                <w:highlight w:val="none"/>
                <w:u w:val="none"/>
                <w:lang w:val="en-US" w:eastAsia="zh-CN" w:bidi="ar"/>
              </w:rPr>
              <w:t>231</w:t>
            </w:r>
          </w:p>
        </w:tc>
      </w:tr>
      <w:tr w14:paraId="5F08F4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2" w:hRule="atLeast"/>
        </w:trPr>
        <w:tc>
          <w:tcPr>
            <w:tcW w:w="1075" w:type="dxa"/>
            <w:tcBorders>
              <w:top w:val="single" w:color="000000" w:sz="4" w:space="0"/>
              <w:left w:val="single" w:color="000000" w:sz="4" w:space="0"/>
              <w:bottom w:val="single" w:color="000000" w:sz="4" w:space="0"/>
              <w:right w:val="single" w:color="000000" w:sz="4" w:space="0"/>
            </w:tcBorders>
            <w:noWrap/>
            <w:vAlign w:val="center"/>
          </w:tcPr>
          <w:p w14:paraId="2290B5D1">
            <w:pPr>
              <w:keepNext w:val="0"/>
              <w:keepLines w:val="0"/>
              <w:widowControl/>
              <w:suppressLineNumbers w:val="0"/>
              <w:jc w:val="center"/>
              <w:textAlignment w:val="center"/>
              <w:rPr>
                <w:rFonts w:hint="default" w:ascii="Times New Roman" w:hAnsi="Times New Roman" w:eastAsia="仿宋" w:cs="Times New Roman"/>
                <w:i w:val="0"/>
                <w:iCs w:val="0"/>
                <w:color w:val="auto"/>
                <w:sz w:val="20"/>
                <w:szCs w:val="20"/>
                <w:highlight w:val="none"/>
                <w:u w:val="none"/>
              </w:rPr>
            </w:pPr>
            <w:r>
              <w:rPr>
                <w:rFonts w:hint="eastAsia" w:ascii="仿宋" w:hAnsi="仿宋" w:eastAsia="仿宋" w:cs="仿宋"/>
                <w:i w:val="0"/>
                <w:iCs w:val="0"/>
                <w:color w:val="000000"/>
                <w:kern w:val="0"/>
                <w:sz w:val="20"/>
                <w:szCs w:val="20"/>
                <w:highlight w:val="none"/>
                <w:u w:val="none"/>
                <w:lang w:val="en-US" w:eastAsia="zh-CN" w:bidi="ar"/>
              </w:rPr>
              <w:t>东简街道</w:t>
            </w:r>
          </w:p>
        </w:tc>
        <w:tc>
          <w:tcPr>
            <w:tcW w:w="1068" w:type="dxa"/>
            <w:tcBorders>
              <w:top w:val="single" w:color="000000" w:sz="4" w:space="0"/>
              <w:left w:val="single" w:color="000000" w:sz="4" w:space="0"/>
              <w:bottom w:val="single" w:color="000000" w:sz="4" w:space="0"/>
              <w:right w:val="single" w:color="000000" w:sz="4" w:space="0"/>
            </w:tcBorders>
            <w:noWrap/>
            <w:vAlign w:val="center"/>
          </w:tcPr>
          <w:p w14:paraId="4CE71A70">
            <w:pPr>
              <w:keepNext w:val="0"/>
              <w:keepLines w:val="0"/>
              <w:widowControl/>
              <w:suppressLineNumbers w:val="0"/>
              <w:jc w:val="center"/>
              <w:textAlignment w:val="center"/>
              <w:rPr>
                <w:rFonts w:hint="default" w:ascii="Times New Roman" w:hAnsi="Times New Roman" w:eastAsia="仿宋" w:cs="Times New Roman"/>
                <w:i w:val="0"/>
                <w:iCs w:val="0"/>
                <w:color w:val="auto"/>
                <w:sz w:val="20"/>
                <w:szCs w:val="20"/>
                <w:highlight w:val="none"/>
                <w:u w:val="none"/>
              </w:rPr>
            </w:pPr>
            <w:r>
              <w:rPr>
                <w:rFonts w:hint="eastAsia" w:ascii="仿宋" w:hAnsi="仿宋" w:eastAsia="仿宋" w:cs="仿宋"/>
                <w:i w:val="0"/>
                <w:iCs w:val="0"/>
                <w:color w:val="000000"/>
                <w:kern w:val="0"/>
                <w:sz w:val="20"/>
                <w:szCs w:val="20"/>
                <w:highlight w:val="none"/>
                <w:u w:val="none"/>
                <w:lang w:val="en-US" w:eastAsia="zh-CN" w:bidi="ar"/>
              </w:rPr>
              <w:t>东简林场</w:t>
            </w:r>
          </w:p>
        </w:tc>
        <w:tc>
          <w:tcPr>
            <w:tcW w:w="720" w:type="dxa"/>
            <w:tcBorders>
              <w:top w:val="single" w:color="000000" w:sz="4" w:space="0"/>
              <w:left w:val="single" w:color="000000" w:sz="4" w:space="0"/>
              <w:bottom w:val="single" w:color="000000" w:sz="4" w:space="0"/>
              <w:right w:val="single" w:color="000000" w:sz="4" w:space="0"/>
            </w:tcBorders>
            <w:noWrap/>
            <w:vAlign w:val="center"/>
          </w:tcPr>
          <w:p w14:paraId="0DF3AC74">
            <w:pPr>
              <w:keepNext w:val="0"/>
              <w:keepLines w:val="0"/>
              <w:widowControl/>
              <w:suppressLineNumbers w:val="0"/>
              <w:jc w:val="center"/>
              <w:textAlignment w:val="center"/>
              <w:rPr>
                <w:rFonts w:hint="default" w:ascii="Times New Roman" w:hAnsi="Times New Roman" w:eastAsia="仿宋" w:cs="Times New Roman"/>
                <w:i w:val="0"/>
                <w:iCs w:val="0"/>
                <w:color w:val="auto"/>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821" w:type="dxa"/>
            <w:tcBorders>
              <w:top w:val="single" w:color="000000" w:sz="4" w:space="0"/>
              <w:left w:val="single" w:color="000000" w:sz="4" w:space="0"/>
              <w:bottom w:val="single" w:color="000000" w:sz="4" w:space="0"/>
              <w:right w:val="single" w:color="000000" w:sz="4" w:space="0"/>
            </w:tcBorders>
            <w:noWrap/>
            <w:vAlign w:val="center"/>
          </w:tcPr>
          <w:p w14:paraId="7BDDC945">
            <w:pPr>
              <w:keepNext w:val="0"/>
              <w:keepLines w:val="0"/>
              <w:widowControl/>
              <w:suppressLineNumbers w:val="0"/>
              <w:jc w:val="center"/>
              <w:textAlignment w:val="center"/>
              <w:rPr>
                <w:rFonts w:hint="default" w:ascii="Times New Roman" w:hAnsi="Times New Roman" w:eastAsia="仿宋"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798DAE86">
            <w:pPr>
              <w:keepNext w:val="0"/>
              <w:keepLines w:val="0"/>
              <w:widowControl/>
              <w:suppressLineNumbers w:val="0"/>
              <w:jc w:val="center"/>
              <w:textAlignment w:val="center"/>
              <w:rPr>
                <w:rFonts w:hint="default" w:ascii="Times New Roman" w:hAnsi="Times New Roman" w:eastAsia="仿宋"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 xml:space="preserve">8.50 </w:t>
            </w:r>
          </w:p>
        </w:tc>
        <w:tc>
          <w:tcPr>
            <w:tcW w:w="1416" w:type="dxa"/>
            <w:tcBorders>
              <w:top w:val="single" w:color="000000" w:sz="4" w:space="0"/>
              <w:left w:val="single" w:color="000000" w:sz="4" w:space="0"/>
              <w:bottom w:val="single" w:color="000000" w:sz="4" w:space="0"/>
              <w:right w:val="single" w:color="000000" w:sz="4" w:space="0"/>
            </w:tcBorders>
            <w:noWrap/>
            <w:vAlign w:val="center"/>
          </w:tcPr>
          <w:p w14:paraId="2706A944">
            <w:pPr>
              <w:keepNext w:val="0"/>
              <w:keepLines w:val="0"/>
              <w:widowControl/>
              <w:suppressLineNumbers w:val="0"/>
              <w:jc w:val="center"/>
              <w:textAlignment w:val="center"/>
              <w:rPr>
                <w:rFonts w:hint="default" w:ascii="Times New Roman" w:hAnsi="Times New Roman" w:eastAsia="仿宋"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 xml:space="preserve">630 </w:t>
            </w:r>
          </w:p>
        </w:tc>
        <w:tc>
          <w:tcPr>
            <w:tcW w:w="1166" w:type="dxa"/>
            <w:tcBorders>
              <w:top w:val="single" w:color="000000" w:sz="4" w:space="0"/>
              <w:left w:val="single" w:color="000000" w:sz="4" w:space="0"/>
              <w:bottom w:val="single" w:color="000000" w:sz="4" w:space="0"/>
              <w:right w:val="single" w:color="000000" w:sz="4" w:space="0"/>
            </w:tcBorders>
            <w:noWrap w:val="0"/>
            <w:vAlign w:val="center"/>
          </w:tcPr>
          <w:p w14:paraId="008CF695">
            <w:pPr>
              <w:keepNext w:val="0"/>
              <w:keepLines w:val="0"/>
              <w:widowControl/>
              <w:suppressLineNumbers w:val="0"/>
              <w:jc w:val="center"/>
              <w:textAlignment w:val="center"/>
              <w:rPr>
                <w:rFonts w:hint="default" w:ascii="Times New Roman" w:hAnsi="Times New Roman" w:eastAsia="仿宋"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 xml:space="preserve">323 </w:t>
            </w:r>
          </w:p>
        </w:tc>
        <w:tc>
          <w:tcPr>
            <w:tcW w:w="1417" w:type="dxa"/>
            <w:tcBorders>
              <w:top w:val="single" w:color="000000" w:sz="4" w:space="0"/>
              <w:left w:val="single" w:color="000000" w:sz="4" w:space="0"/>
              <w:bottom w:val="single" w:color="000000" w:sz="4" w:space="0"/>
              <w:right w:val="single" w:color="000000" w:sz="4" w:space="0"/>
            </w:tcBorders>
            <w:noWrap w:val="0"/>
            <w:vAlign w:val="center"/>
          </w:tcPr>
          <w:p w14:paraId="54AA8491">
            <w:pPr>
              <w:keepNext w:val="0"/>
              <w:keepLines w:val="0"/>
              <w:widowControl/>
              <w:suppressLineNumbers w:val="0"/>
              <w:jc w:val="center"/>
              <w:textAlignment w:val="center"/>
              <w:rPr>
                <w:rFonts w:hint="default" w:ascii="Times New Roman" w:hAnsi="Times New Roman" w:eastAsia="仿宋"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0"/>
                <w:szCs w:val="20"/>
                <w:highlight w:val="none"/>
                <w:u w:val="none"/>
                <w:lang w:val="en-US" w:eastAsia="zh-CN" w:bidi="ar"/>
              </w:rPr>
              <w:t>300</w:t>
            </w:r>
          </w:p>
        </w:tc>
      </w:tr>
      <w:tr w14:paraId="12849B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2" w:hRule="atLeast"/>
        </w:trPr>
        <w:tc>
          <w:tcPr>
            <w:tcW w:w="1075" w:type="dxa"/>
            <w:tcBorders>
              <w:top w:val="single" w:color="000000" w:sz="4" w:space="0"/>
              <w:left w:val="single" w:color="000000" w:sz="4" w:space="0"/>
              <w:bottom w:val="single" w:color="000000" w:sz="4" w:space="0"/>
              <w:right w:val="single" w:color="000000" w:sz="4" w:space="0"/>
            </w:tcBorders>
            <w:noWrap/>
            <w:vAlign w:val="center"/>
          </w:tcPr>
          <w:p w14:paraId="7EB2B3F8">
            <w:pPr>
              <w:keepNext w:val="0"/>
              <w:keepLines w:val="0"/>
              <w:widowControl/>
              <w:suppressLineNumbers w:val="0"/>
              <w:jc w:val="center"/>
              <w:textAlignment w:val="center"/>
              <w:rPr>
                <w:rFonts w:hint="default" w:ascii="Times New Roman" w:hAnsi="Times New Roman" w:eastAsia="仿宋" w:cs="Times New Roman"/>
                <w:i w:val="0"/>
                <w:iCs w:val="0"/>
                <w:color w:val="auto"/>
                <w:sz w:val="20"/>
                <w:szCs w:val="20"/>
                <w:highlight w:val="none"/>
                <w:u w:val="none"/>
              </w:rPr>
            </w:pPr>
            <w:r>
              <w:rPr>
                <w:rFonts w:hint="eastAsia" w:ascii="仿宋" w:hAnsi="仿宋" w:eastAsia="仿宋" w:cs="仿宋"/>
                <w:i w:val="0"/>
                <w:iCs w:val="0"/>
                <w:color w:val="000000"/>
                <w:kern w:val="0"/>
                <w:sz w:val="20"/>
                <w:szCs w:val="20"/>
                <w:highlight w:val="none"/>
                <w:u w:val="none"/>
                <w:lang w:val="en-US" w:eastAsia="zh-CN" w:bidi="ar"/>
              </w:rPr>
              <w:t>东简街道</w:t>
            </w:r>
          </w:p>
        </w:tc>
        <w:tc>
          <w:tcPr>
            <w:tcW w:w="1068" w:type="dxa"/>
            <w:tcBorders>
              <w:top w:val="single" w:color="000000" w:sz="4" w:space="0"/>
              <w:left w:val="single" w:color="000000" w:sz="4" w:space="0"/>
              <w:bottom w:val="single" w:color="000000" w:sz="4" w:space="0"/>
              <w:right w:val="single" w:color="000000" w:sz="4" w:space="0"/>
            </w:tcBorders>
            <w:noWrap/>
            <w:vAlign w:val="center"/>
          </w:tcPr>
          <w:p w14:paraId="1753715E">
            <w:pPr>
              <w:keepNext w:val="0"/>
              <w:keepLines w:val="0"/>
              <w:widowControl/>
              <w:suppressLineNumbers w:val="0"/>
              <w:jc w:val="center"/>
              <w:textAlignment w:val="center"/>
              <w:rPr>
                <w:rFonts w:hint="default" w:ascii="Times New Roman" w:hAnsi="Times New Roman" w:eastAsia="仿宋" w:cs="Times New Roman"/>
                <w:i w:val="0"/>
                <w:iCs w:val="0"/>
                <w:color w:val="auto"/>
                <w:sz w:val="20"/>
                <w:szCs w:val="20"/>
                <w:highlight w:val="none"/>
                <w:u w:val="none"/>
              </w:rPr>
            </w:pPr>
            <w:r>
              <w:rPr>
                <w:rFonts w:hint="eastAsia" w:ascii="仿宋" w:hAnsi="仿宋" w:eastAsia="仿宋" w:cs="仿宋"/>
                <w:i w:val="0"/>
                <w:iCs w:val="0"/>
                <w:color w:val="000000"/>
                <w:kern w:val="0"/>
                <w:sz w:val="20"/>
                <w:szCs w:val="20"/>
                <w:highlight w:val="none"/>
                <w:u w:val="none"/>
                <w:lang w:val="en-US" w:eastAsia="zh-CN" w:bidi="ar"/>
              </w:rPr>
              <w:t>龙水村</w:t>
            </w:r>
          </w:p>
        </w:tc>
        <w:tc>
          <w:tcPr>
            <w:tcW w:w="720" w:type="dxa"/>
            <w:tcBorders>
              <w:top w:val="single" w:color="000000" w:sz="4" w:space="0"/>
              <w:left w:val="single" w:color="000000" w:sz="4" w:space="0"/>
              <w:bottom w:val="single" w:color="000000" w:sz="4" w:space="0"/>
              <w:right w:val="single" w:color="000000" w:sz="4" w:space="0"/>
            </w:tcBorders>
            <w:noWrap/>
            <w:vAlign w:val="center"/>
          </w:tcPr>
          <w:p w14:paraId="74CD0C73">
            <w:pPr>
              <w:keepNext w:val="0"/>
              <w:keepLines w:val="0"/>
              <w:widowControl/>
              <w:suppressLineNumbers w:val="0"/>
              <w:jc w:val="center"/>
              <w:textAlignment w:val="center"/>
              <w:rPr>
                <w:rFonts w:hint="default" w:ascii="Times New Roman" w:hAnsi="Times New Roman" w:eastAsia="仿宋" w:cs="Times New Roman"/>
                <w:i w:val="0"/>
                <w:iCs w:val="0"/>
                <w:color w:val="auto"/>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821" w:type="dxa"/>
            <w:tcBorders>
              <w:top w:val="single" w:color="000000" w:sz="4" w:space="0"/>
              <w:left w:val="single" w:color="000000" w:sz="4" w:space="0"/>
              <w:bottom w:val="single" w:color="000000" w:sz="4" w:space="0"/>
              <w:right w:val="single" w:color="000000" w:sz="4" w:space="0"/>
            </w:tcBorders>
            <w:noWrap/>
            <w:vAlign w:val="center"/>
          </w:tcPr>
          <w:p w14:paraId="674A19B5">
            <w:pPr>
              <w:keepNext w:val="0"/>
              <w:keepLines w:val="0"/>
              <w:widowControl/>
              <w:suppressLineNumbers w:val="0"/>
              <w:jc w:val="center"/>
              <w:textAlignment w:val="center"/>
              <w:rPr>
                <w:rFonts w:hint="default" w:ascii="Times New Roman" w:hAnsi="Times New Roman" w:eastAsia="仿宋"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170</w:t>
            </w:r>
          </w:p>
        </w:tc>
        <w:tc>
          <w:tcPr>
            <w:tcW w:w="840" w:type="dxa"/>
            <w:tcBorders>
              <w:top w:val="single" w:color="000000" w:sz="4" w:space="0"/>
              <w:left w:val="single" w:color="000000" w:sz="4" w:space="0"/>
              <w:bottom w:val="single" w:color="000000" w:sz="4" w:space="0"/>
              <w:right w:val="single" w:color="000000" w:sz="4" w:space="0"/>
            </w:tcBorders>
            <w:noWrap w:val="0"/>
            <w:vAlign w:val="center"/>
          </w:tcPr>
          <w:p w14:paraId="7DE4D543">
            <w:pPr>
              <w:keepNext w:val="0"/>
              <w:keepLines w:val="0"/>
              <w:widowControl/>
              <w:suppressLineNumbers w:val="0"/>
              <w:jc w:val="center"/>
              <w:textAlignment w:val="center"/>
              <w:rPr>
                <w:rFonts w:hint="default" w:ascii="Times New Roman" w:hAnsi="Times New Roman" w:eastAsia="仿宋"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 xml:space="preserve">71.81 </w:t>
            </w:r>
          </w:p>
        </w:tc>
        <w:tc>
          <w:tcPr>
            <w:tcW w:w="1416" w:type="dxa"/>
            <w:tcBorders>
              <w:top w:val="single" w:color="000000" w:sz="4" w:space="0"/>
              <w:left w:val="single" w:color="000000" w:sz="4" w:space="0"/>
              <w:bottom w:val="single" w:color="000000" w:sz="4" w:space="0"/>
              <w:right w:val="single" w:color="000000" w:sz="4" w:space="0"/>
            </w:tcBorders>
            <w:noWrap/>
            <w:vAlign w:val="center"/>
          </w:tcPr>
          <w:p w14:paraId="1B10C828">
            <w:pPr>
              <w:keepNext w:val="0"/>
              <w:keepLines w:val="0"/>
              <w:widowControl/>
              <w:suppressLineNumbers w:val="0"/>
              <w:jc w:val="center"/>
              <w:textAlignment w:val="center"/>
              <w:rPr>
                <w:rFonts w:hint="default" w:ascii="Times New Roman" w:hAnsi="Times New Roman" w:eastAsia="仿宋"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 xml:space="preserve">3570 </w:t>
            </w:r>
          </w:p>
        </w:tc>
        <w:tc>
          <w:tcPr>
            <w:tcW w:w="1166" w:type="dxa"/>
            <w:tcBorders>
              <w:top w:val="single" w:color="000000" w:sz="4" w:space="0"/>
              <w:left w:val="single" w:color="000000" w:sz="4" w:space="0"/>
              <w:bottom w:val="single" w:color="000000" w:sz="4" w:space="0"/>
              <w:right w:val="single" w:color="000000" w:sz="4" w:space="0"/>
            </w:tcBorders>
            <w:noWrap w:val="0"/>
            <w:vAlign w:val="center"/>
          </w:tcPr>
          <w:p w14:paraId="6A51D20E">
            <w:pPr>
              <w:keepNext w:val="0"/>
              <w:keepLines w:val="0"/>
              <w:widowControl/>
              <w:suppressLineNumbers w:val="0"/>
              <w:jc w:val="center"/>
              <w:textAlignment w:val="center"/>
              <w:rPr>
                <w:rFonts w:hint="default" w:ascii="Times New Roman" w:hAnsi="Times New Roman" w:eastAsia="仿宋"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 xml:space="preserve">3145 </w:t>
            </w:r>
          </w:p>
        </w:tc>
        <w:tc>
          <w:tcPr>
            <w:tcW w:w="1417" w:type="dxa"/>
            <w:tcBorders>
              <w:top w:val="single" w:color="000000" w:sz="4" w:space="0"/>
              <w:left w:val="single" w:color="000000" w:sz="4" w:space="0"/>
              <w:bottom w:val="single" w:color="000000" w:sz="4" w:space="0"/>
              <w:right w:val="single" w:color="000000" w:sz="4" w:space="0"/>
            </w:tcBorders>
            <w:noWrap w:val="0"/>
            <w:vAlign w:val="center"/>
          </w:tcPr>
          <w:p w14:paraId="70E58D50">
            <w:pPr>
              <w:keepNext w:val="0"/>
              <w:keepLines w:val="0"/>
              <w:widowControl/>
              <w:suppressLineNumbers w:val="0"/>
              <w:jc w:val="center"/>
              <w:textAlignment w:val="center"/>
              <w:rPr>
                <w:rFonts w:hint="default" w:ascii="Times New Roman" w:hAnsi="Times New Roman" w:eastAsia="仿宋"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0"/>
                <w:szCs w:val="20"/>
                <w:highlight w:val="none"/>
                <w:u w:val="none"/>
                <w:lang w:val="en-US" w:eastAsia="zh-CN" w:bidi="ar"/>
              </w:rPr>
              <w:t>1700</w:t>
            </w:r>
          </w:p>
        </w:tc>
      </w:tr>
    </w:tbl>
    <w:p w14:paraId="1284746C">
      <w:pPr>
        <w:spacing w:line="360" w:lineRule="auto"/>
        <w:rPr>
          <w:rFonts w:hint="default" w:ascii="Times New Roman" w:hAnsi="Times New Roman" w:eastAsia="仿宋" w:cs="Times New Roman"/>
          <w:color w:val="auto"/>
          <w:sz w:val="28"/>
          <w:szCs w:val="28"/>
          <w:highlight w:val="none"/>
          <w:lang w:val="en-US" w:eastAsia="zh-CN"/>
        </w:rPr>
      </w:pPr>
    </w:p>
    <w:p w14:paraId="65F8C23C">
      <w:pPr>
        <w:keepNext w:val="0"/>
        <w:keepLines w:val="0"/>
        <w:pageBreakBefore w:val="0"/>
        <w:widowControl/>
        <w:numPr>
          <w:ilvl w:val="0"/>
          <w:numId w:val="0"/>
        </w:numPr>
        <w:kinsoku/>
        <w:wordWrap/>
        <w:overflowPunct/>
        <w:topLinePunct w:val="0"/>
        <w:autoSpaceDE/>
        <w:autoSpaceDN/>
        <w:bidi w:val="0"/>
        <w:adjustRightInd/>
        <w:snapToGrid/>
        <w:spacing w:line="360" w:lineRule="auto"/>
        <w:textAlignment w:val="auto"/>
        <w:rPr>
          <w:rFonts w:hint="default" w:ascii="宋体"/>
          <w:b w:val="0"/>
          <w:bCs w:val="0"/>
          <w:color w:val="000000"/>
          <w:sz w:val="21"/>
          <w:szCs w:val="21"/>
          <w:lang w:val="en-US" w:eastAsia="zh-CN"/>
        </w:rPr>
      </w:pPr>
      <w:bookmarkStart w:id="156" w:name="_Toc9617"/>
      <w:bookmarkStart w:id="157" w:name="_Toc8881"/>
      <w:bookmarkStart w:id="158" w:name="_Toc31945"/>
      <w:bookmarkStart w:id="159" w:name="_Toc2048"/>
      <w:bookmarkStart w:id="160" w:name="_Toc12969"/>
      <w:bookmarkStart w:id="161" w:name="_Toc2677"/>
      <w:bookmarkStart w:id="162" w:name="_Toc18534"/>
      <w:bookmarkStart w:id="163" w:name="_Toc23849"/>
      <w:bookmarkStart w:id="164" w:name="_Toc8799"/>
      <w:r>
        <w:rPr>
          <w:rFonts w:hint="default" w:ascii="宋体"/>
          <w:b/>
          <w:bCs/>
          <w:color w:val="000000"/>
          <w:sz w:val="21"/>
          <w:szCs w:val="21"/>
          <w:lang w:val="en-US" w:eastAsia="zh-CN"/>
        </w:rPr>
        <w:t>八</w:t>
      </w:r>
      <w:r>
        <w:rPr>
          <w:rFonts w:hint="eastAsia" w:ascii="宋体"/>
          <w:b/>
          <w:bCs/>
          <w:color w:val="000000"/>
          <w:sz w:val="21"/>
          <w:szCs w:val="21"/>
          <w:lang w:val="en-US" w:eastAsia="zh-CN"/>
        </w:rPr>
        <w:t>、</w:t>
      </w:r>
      <w:bookmarkEnd w:id="156"/>
      <w:bookmarkEnd w:id="157"/>
      <w:bookmarkEnd w:id="158"/>
      <w:bookmarkEnd w:id="159"/>
      <w:bookmarkEnd w:id="160"/>
      <w:bookmarkEnd w:id="161"/>
      <w:bookmarkEnd w:id="162"/>
      <w:bookmarkEnd w:id="163"/>
      <w:bookmarkEnd w:id="164"/>
      <w:r>
        <w:rPr>
          <w:rFonts w:hint="eastAsia" w:ascii="宋体"/>
          <w:b/>
          <w:bCs/>
          <w:color w:val="000000"/>
          <w:sz w:val="21"/>
          <w:szCs w:val="21"/>
          <w:lang w:val="en-US" w:eastAsia="zh-CN"/>
        </w:rPr>
        <w:t xml:space="preserve">项目预算 </w:t>
      </w:r>
    </w:p>
    <w:p w14:paraId="627D131B">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b w:val="0"/>
          <w:bCs w:val="0"/>
          <w:color w:val="000000"/>
          <w:sz w:val="21"/>
          <w:szCs w:val="21"/>
          <w:lang w:val="en-US" w:eastAsia="zh-CN"/>
        </w:rPr>
      </w:pPr>
      <w:bookmarkStart w:id="165" w:name="_Toc1822"/>
      <w:r>
        <w:rPr>
          <w:rFonts w:hint="default" w:ascii="宋体"/>
          <w:b w:val="0"/>
          <w:bCs w:val="0"/>
          <w:color w:val="000000"/>
          <w:sz w:val="21"/>
          <w:szCs w:val="21"/>
          <w:lang w:val="en-US" w:eastAsia="zh-CN"/>
        </w:rPr>
        <w:t>湛江经济技术开发区2024年新造林抚育项目总投资为</w:t>
      </w:r>
      <w:r>
        <w:rPr>
          <w:rFonts w:hint="eastAsia" w:ascii="宋体"/>
          <w:b w:val="0"/>
          <w:bCs w:val="0"/>
          <w:color w:val="000000"/>
          <w:sz w:val="21"/>
          <w:szCs w:val="21"/>
          <w:lang w:val="en-US" w:eastAsia="zh-CN"/>
        </w:rPr>
        <w:t>59037.96</w:t>
      </w:r>
      <w:r>
        <w:rPr>
          <w:rFonts w:hint="default" w:ascii="宋体"/>
          <w:b w:val="0"/>
          <w:bCs w:val="0"/>
          <w:color w:val="000000"/>
          <w:sz w:val="21"/>
          <w:szCs w:val="21"/>
          <w:lang w:val="en-US" w:eastAsia="zh-CN"/>
        </w:rPr>
        <w:t>元。</w:t>
      </w:r>
    </w:p>
    <w:p w14:paraId="6AC94F04">
      <w:pPr>
        <w:keepNext w:val="0"/>
        <w:keepLines w:val="0"/>
        <w:pageBreakBefore w:val="0"/>
        <w:widowControl/>
        <w:numPr>
          <w:ilvl w:val="0"/>
          <w:numId w:val="0"/>
        </w:numPr>
        <w:kinsoku/>
        <w:wordWrap/>
        <w:overflowPunct/>
        <w:topLinePunct w:val="0"/>
        <w:autoSpaceDE/>
        <w:autoSpaceDN/>
        <w:bidi w:val="0"/>
        <w:adjustRightInd/>
        <w:snapToGrid/>
        <w:spacing w:line="360" w:lineRule="auto"/>
        <w:textAlignment w:val="auto"/>
        <w:rPr>
          <w:rFonts w:hint="default" w:ascii="宋体"/>
          <w:b/>
          <w:bCs/>
          <w:color w:val="000000"/>
          <w:sz w:val="21"/>
          <w:szCs w:val="21"/>
          <w:lang w:val="en-US" w:eastAsia="zh-CN"/>
        </w:rPr>
      </w:pPr>
      <w:bookmarkStart w:id="166" w:name="_Toc28546"/>
      <w:bookmarkStart w:id="167" w:name="_Toc8638"/>
      <w:bookmarkStart w:id="168" w:name="_Toc19177"/>
      <w:bookmarkStart w:id="169" w:name="_Toc7892"/>
      <w:bookmarkStart w:id="170" w:name="_Toc7975"/>
      <w:bookmarkStart w:id="171" w:name="_Toc17759"/>
      <w:bookmarkStart w:id="172" w:name="_Toc9458"/>
      <w:bookmarkStart w:id="173" w:name="_Toc17696"/>
      <w:bookmarkStart w:id="174" w:name="_Toc7846"/>
      <w:bookmarkStart w:id="175" w:name="_Toc8267"/>
      <w:r>
        <w:rPr>
          <w:rFonts w:hint="default" w:ascii="宋体"/>
          <w:b/>
          <w:bCs/>
          <w:color w:val="000000"/>
          <w:sz w:val="21"/>
          <w:szCs w:val="21"/>
          <w:lang w:val="en-US" w:eastAsia="zh-CN"/>
        </w:rPr>
        <w:t>九</w:t>
      </w:r>
      <w:bookmarkEnd w:id="166"/>
      <w:r>
        <w:rPr>
          <w:rFonts w:hint="eastAsia" w:ascii="宋体"/>
          <w:b/>
          <w:bCs/>
          <w:color w:val="000000"/>
          <w:sz w:val="21"/>
          <w:szCs w:val="21"/>
          <w:lang w:val="en-US" w:eastAsia="zh-CN"/>
        </w:rPr>
        <w:t>、</w:t>
      </w:r>
      <w:r>
        <w:rPr>
          <w:rFonts w:hint="default" w:ascii="宋体"/>
          <w:b/>
          <w:bCs/>
          <w:color w:val="000000"/>
          <w:sz w:val="21"/>
          <w:szCs w:val="21"/>
          <w:lang w:val="en-US" w:eastAsia="zh-CN"/>
        </w:rPr>
        <w:t>施工管理与保障措施</w:t>
      </w:r>
      <w:bookmarkEnd w:id="167"/>
      <w:bookmarkEnd w:id="168"/>
      <w:bookmarkEnd w:id="169"/>
      <w:bookmarkEnd w:id="170"/>
      <w:bookmarkEnd w:id="171"/>
      <w:bookmarkEnd w:id="172"/>
      <w:bookmarkEnd w:id="173"/>
      <w:bookmarkEnd w:id="174"/>
      <w:bookmarkEnd w:id="175"/>
    </w:p>
    <w:p w14:paraId="500D9410">
      <w:pPr>
        <w:keepNext w:val="0"/>
        <w:keepLines w:val="0"/>
        <w:pageBreakBefore w:val="0"/>
        <w:widowControl/>
        <w:numPr>
          <w:ilvl w:val="0"/>
          <w:numId w:val="0"/>
        </w:numPr>
        <w:kinsoku/>
        <w:wordWrap/>
        <w:overflowPunct/>
        <w:topLinePunct w:val="0"/>
        <w:autoSpaceDE/>
        <w:autoSpaceDN/>
        <w:bidi w:val="0"/>
        <w:adjustRightInd/>
        <w:snapToGrid/>
        <w:spacing w:line="360" w:lineRule="auto"/>
        <w:textAlignment w:val="auto"/>
        <w:rPr>
          <w:rFonts w:hint="default" w:ascii="宋体"/>
          <w:b w:val="0"/>
          <w:bCs w:val="0"/>
          <w:color w:val="000000"/>
          <w:sz w:val="21"/>
          <w:szCs w:val="21"/>
          <w:lang w:val="en-US" w:eastAsia="zh-CN"/>
        </w:rPr>
      </w:pPr>
      <w:bookmarkStart w:id="176" w:name="_Toc8723"/>
      <w:bookmarkStart w:id="177" w:name="_Toc15699"/>
      <w:bookmarkStart w:id="178" w:name="_Toc10657"/>
      <w:bookmarkStart w:id="179" w:name="_Toc25442"/>
      <w:bookmarkStart w:id="180" w:name="_Toc13337"/>
      <w:bookmarkStart w:id="181" w:name="_Toc6946"/>
      <w:bookmarkStart w:id="182" w:name="_Toc19130"/>
      <w:bookmarkStart w:id="183" w:name="_Toc23504"/>
      <w:bookmarkStart w:id="184" w:name="_Toc9859"/>
      <w:r>
        <w:rPr>
          <w:rFonts w:hint="eastAsia" w:ascii="宋体"/>
          <w:b w:val="0"/>
          <w:bCs w:val="0"/>
          <w:color w:val="000000"/>
          <w:sz w:val="21"/>
          <w:szCs w:val="21"/>
          <w:lang w:val="en-US" w:eastAsia="zh-CN"/>
        </w:rPr>
        <w:t>1</w:t>
      </w:r>
      <w:r>
        <w:rPr>
          <w:rFonts w:hint="default" w:ascii="宋体"/>
          <w:b w:val="0"/>
          <w:bCs w:val="0"/>
          <w:color w:val="000000"/>
          <w:sz w:val="21"/>
          <w:szCs w:val="21"/>
          <w:lang w:val="en-US" w:eastAsia="zh-CN"/>
        </w:rPr>
        <w:t>、施工管理</w:t>
      </w:r>
      <w:bookmarkEnd w:id="176"/>
      <w:bookmarkEnd w:id="177"/>
      <w:bookmarkEnd w:id="178"/>
      <w:bookmarkEnd w:id="179"/>
      <w:bookmarkEnd w:id="180"/>
      <w:bookmarkEnd w:id="181"/>
      <w:bookmarkEnd w:id="182"/>
      <w:bookmarkEnd w:id="183"/>
      <w:bookmarkEnd w:id="184"/>
    </w:p>
    <w:p w14:paraId="38340F1A">
      <w:pPr>
        <w:keepNext w:val="0"/>
        <w:keepLines w:val="0"/>
        <w:pageBreakBefore w:val="0"/>
        <w:widowControl/>
        <w:numPr>
          <w:ilvl w:val="0"/>
          <w:numId w:val="0"/>
        </w:numPr>
        <w:kinsoku/>
        <w:wordWrap/>
        <w:overflowPunct/>
        <w:topLinePunct w:val="0"/>
        <w:autoSpaceDE/>
        <w:autoSpaceDN/>
        <w:bidi w:val="0"/>
        <w:adjustRightInd/>
        <w:snapToGrid/>
        <w:spacing w:line="360" w:lineRule="auto"/>
        <w:textAlignment w:val="auto"/>
        <w:rPr>
          <w:rFonts w:hint="default" w:ascii="宋体"/>
          <w:b w:val="0"/>
          <w:bCs w:val="0"/>
          <w:color w:val="000000"/>
          <w:sz w:val="21"/>
          <w:szCs w:val="21"/>
          <w:lang w:val="en-US" w:eastAsia="zh-CN"/>
        </w:rPr>
      </w:pPr>
      <w:r>
        <w:rPr>
          <w:rFonts w:hint="default" w:ascii="宋体"/>
          <w:b w:val="0"/>
          <w:bCs w:val="0"/>
          <w:color w:val="000000"/>
          <w:sz w:val="21"/>
          <w:szCs w:val="21"/>
          <w:lang w:val="en-US" w:eastAsia="zh-CN"/>
        </w:rPr>
        <w:t>1</w:t>
      </w:r>
      <w:r>
        <w:rPr>
          <w:rFonts w:hint="eastAsia" w:ascii="宋体"/>
          <w:b w:val="0"/>
          <w:bCs w:val="0"/>
          <w:color w:val="000000"/>
          <w:sz w:val="21"/>
          <w:szCs w:val="21"/>
          <w:lang w:val="en-US" w:eastAsia="zh-CN"/>
        </w:rPr>
        <w:t>）</w:t>
      </w:r>
      <w:r>
        <w:rPr>
          <w:rFonts w:hint="default" w:ascii="宋体"/>
          <w:b w:val="0"/>
          <w:bCs w:val="0"/>
          <w:color w:val="000000"/>
          <w:sz w:val="21"/>
          <w:szCs w:val="21"/>
          <w:lang w:val="en-US" w:eastAsia="zh-CN"/>
        </w:rPr>
        <w:t>组织管理</w:t>
      </w:r>
    </w:p>
    <w:p w14:paraId="2985A954">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b w:val="0"/>
          <w:bCs w:val="0"/>
          <w:color w:val="000000"/>
          <w:sz w:val="21"/>
          <w:szCs w:val="21"/>
          <w:lang w:val="en-US" w:eastAsia="zh-CN"/>
        </w:rPr>
      </w:pPr>
      <w:r>
        <w:rPr>
          <w:rFonts w:hint="default" w:ascii="宋体"/>
          <w:b w:val="0"/>
          <w:bCs w:val="0"/>
          <w:color w:val="000000"/>
          <w:sz w:val="21"/>
          <w:szCs w:val="21"/>
          <w:lang w:val="en-US" w:eastAsia="zh-CN"/>
        </w:rPr>
        <w:t>实施森林质量精准提升是贯彻落实习近平生态文明思想的重要举措，是深入推进绿美广东生态建设的重要内容，是打造人与自然和谐共生的现代化广东样板的重要基础。为保证本项目建设任务顺利完成，建设前应组织开展技术培训，建设单位、作业设计编制单位、监理单位人员均应参加，进一步明确技术要点和工作要求，统一思想和工作标准，确保按作业设计建设。湛江经济开发区规划和自然资源局要成立项目工作领导小组，负责对该项目的建设进行全面的监督管理，并解决好建设过程中可能出现的问题。</w:t>
      </w:r>
    </w:p>
    <w:p w14:paraId="7A1A317E">
      <w:pPr>
        <w:keepNext w:val="0"/>
        <w:keepLines w:val="0"/>
        <w:pageBreakBefore w:val="0"/>
        <w:widowControl/>
        <w:numPr>
          <w:ilvl w:val="0"/>
          <w:numId w:val="1"/>
        </w:numPr>
        <w:kinsoku/>
        <w:wordWrap/>
        <w:overflowPunct/>
        <w:topLinePunct w:val="0"/>
        <w:autoSpaceDE/>
        <w:autoSpaceDN/>
        <w:bidi w:val="0"/>
        <w:adjustRightInd/>
        <w:snapToGrid/>
        <w:spacing w:line="360" w:lineRule="auto"/>
        <w:ind w:firstLine="420" w:firstLineChars="200"/>
        <w:textAlignment w:val="auto"/>
        <w:rPr>
          <w:rFonts w:hint="default" w:ascii="宋体"/>
          <w:b w:val="0"/>
          <w:bCs w:val="0"/>
          <w:color w:val="000000"/>
          <w:sz w:val="21"/>
          <w:szCs w:val="21"/>
          <w:lang w:val="en-US" w:eastAsia="zh-CN"/>
        </w:rPr>
      </w:pPr>
      <w:r>
        <w:rPr>
          <w:rFonts w:hint="eastAsia" w:ascii="宋体"/>
          <w:b w:val="0"/>
          <w:bCs w:val="0"/>
          <w:color w:val="000000"/>
          <w:sz w:val="21"/>
          <w:szCs w:val="21"/>
          <w:lang w:val="en-US" w:eastAsia="zh-CN"/>
        </w:rPr>
        <w:t>项目</w:t>
      </w:r>
      <w:r>
        <w:rPr>
          <w:rFonts w:hint="default" w:ascii="宋体"/>
          <w:b w:val="0"/>
          <w:bCs w:val="0"/>
          <w:color w:val="000000"/>
          <w:sz w:val="21"/>
          <w:szCs w:val="21"/>
          <w:lang w:val="en-US" w:eastAsia="zh-CN"/>
        </w:rPr>
        <w:t>管理</w:t>
      </w:r>
    </w:p>
    <w:p w14:paraId="67EB74C1">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b w:val="0"/>
          <w:bCs w:val="0"/>
          <w:color w:val="000000"/>
          <w:sz w:val="21"/>
          <w:szCs w:val="21"/>
          <w:lang w:val="en-US" w:eastAsia="zh-CN"/>
        </w:rPr>
      </w:pPr>
      <w:r>
        <w:rPr>
          <w:rFonts w:hint="default" w:ascii="宋体"/>
          <w:b w:val="0"/>
          <w:bCs w:val="0"/>
          <w:color w:val="000000"/>
          <w:sz w:val="21"/>
          <w:szCs w:val="21"/>
          <w:lang w:val="en-US" w:eastAsia="zh-CN"/>
        </w:rPr>
        <w:t>严格执行各项技术规范要求，严格执行“按规划设计、按作业设计开展建设、按标准验收报账”的技术管理程序。推行项目法人制，对服务单位实行承包责任制</w:t>
      </w:r>
      <w:r>
        <w:rPr>
          <w:rFonts w:hint="eastAsia" w:ascii="宋体"/>
          <w:b w:val="0"/>
          <w:bCs w:val="0"/>
          <w:color w:val="000000"/>
          <w:sz w:val="21"/>
          <w:szCs w:val="21"/>
          <w:lang w:val="en-US" w:eastAsia="zh-CN"/>
        </w:rPr>
        <w:t>。</w:t>
      </w:r>
    </w:p>
    <w:p w14:paraId="6D947C92">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b w:val="0"/>
          <w:bCs w:val="0"/>
          <w:color w:val="000000"/>
          <w:sz w:val="21"/>
          <w:szCs w:val="21"/>
          <w:lang w:val="en-US" w:eastAsia="zh-CN"/>
        </w:rPr>
      </w:pPr>
      <w:r>
        <w:rPr>
          <w:rFonts w:hint="default" w:ascii="宋体"/>
          <w:b w:val="0"/>
          <w:bCs w:val="0"/>
          <w:color w:val="000000"/>
          <w:sz w:val="21"/>
          <w:szCs w:val="21"/>
          <w:lang w:val="en-US" w:eastAsia="zh-CN"/>
        </w:rPr>
        <w:t>2.1</w:t>
      </w:r>
      <w:r>
        <w:rPr>
          <w:rFonts w:hint="eastAsia" w:ascii="宋体"/>
          <w:b w:val="0"/>
          <w:bCs w:val="0"/>
          <w:color w:val="000000"/>
          <w:sz w:val="21"/>
          <w:szCs w:val="21"/>
          <w:lang w:val="en-US" w:eastAsia="zh-CN"/>
        </w:rPr>
        <w:t>）</w:t>
      </w:r>
      <w:r>
        <w:rPr>
          <w:rFonts w:hint="default" w:ascii="宋体"/>
          <w:b w:val="0"/>
          <w:bCs w:val="0"/>
          <w:color w:val="000000"/>
          <w:sz w:val="21"/>
          <w:szCs w:val="21"/>
          <w:lang w:val="en-US" w:eastAsia="zh-CN"/>
        </w:rPr>
        <w:t>项目监督管理</w:t>
      </w:r>
    </w:p>
    <w:p w14:paraId="137FC0EF">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b w:val="0"/>
          <w:bCs w:val="0"/>
          <w:color w:val="000000"/>
          <w:sz w:val="21"/>
          <w:szCs w:val="21"/>
          <w:lang w:val="en-US" w:eastAsia="zh-CN"/>
        </w:rPr>
      </w:pPr>
      <w:r>
        <w:rPr>
          <w:rFonts w:hint="default" w:ascii="宋体"/>
          <w:b w:val="0"/>
          <w:bCs w:val="0"/>
          <w:color w:val="000000"/>
          <w:sz w:val="21"/>
          <w:szCs w:val="21"/>
          <w:lang w:val="en-US" w:eastAsia="zh-CN"/>
        </w:rPr>
        <w:t>项目建设单位负责项目各工序的监督、管理。具体措施和要求如下：</w:t>
      </w:r>
    </w:p>
    <w:p w14:paraId="511A5388">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b w:val="0"/>
          <w:bCs w:val="0"/>
          <w:color w:val="000000"/>
          <w:sz w:val="21"/>
          <w:szCs w:val="21"/>
          <w:lang w:val="en-US" w:eastAsia="zh-CN"/>
        </w:rPr>
      </w:pPr>
      <w:r>
        <w:rPr>
          <w:rFonts w:hint="default" w:ascii="宋体"/>
          <w:b w:val="0"/>
          <w:bCs w:val="0"/>
          <w:color w:val="000000"/>
          <w:sz w:val="21"/>
          <w:szCs w:val="21"/>
          <w:lang w:val="en-US" w:eastAsia="zh-CN"/>
        </w:rPr>
        <w:t>（1）严格按规定要求进行招投标，并制定工程质量奖惩制度。</w:t>
      </w:r>
    </w:p>
    <w:p w14:paraId="33393F28">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b w:val="0"/>
          <w:bCs w:val="0"/>
          <w:color w:val="000000"/>
          <w:sz w:val="21"/>
          <w:szCs w:val="21"/>
          <w:lang w:val="en-US" w:eastAsia="zh-CN"/>
        </w:rPr>
      </w:pPr>
      <w:r>
        <w:rPr>
          <w:rFonts w:hint="default" w:ascii="宋体"/>
          <w:b w:val="0"/>
          <w:bCs w:val="0"/>
          <w:color w:val="000000"/>
          <w:sz w:val="21"/>
          <w:szCs w:val="21"/>
          <w:lang w:val="en-US" w:eastAsia="zh-CN"/>
        </w:rPr>
        <w:t>（2）实行工程质量监理制。聘请有工程监理资质的监理单位进行工程监理，确保工程质量和进度。要实行工序管理，对每个工序都要进行质量检查验收，不合格的工序要及时返工整改，直至质量合格为止，否则不能转入下一工序施工。</w:t>
      </w:r>
    </w:p>
    <w:p w14:paraId="5A8A4671">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b w:val="0"/>
          <w:bCs w:val="0"/>
          <w:color w:val="000000"/>
          <w:sz w:val="21"/>
          <w:szCs w:val="21"/>
          <w:lang w:val="en-US" w:eastAsia="zh-CN"/>
        </w:rPr>
      </w:pPr>
      <w:r>
        <w:rPr>
          <w:rFonts w:hint="default" w:ascii="宋体"/>
          <w:b w:val="0"/>
          <w:bCs w:val="0"/>
          <w:color w:val="000000"/>
          <w:sz w:val="21"/>
          <w:szCs w:val="21"/>
          <w:lang w:val="en-US" w:eastAsia="zh-CN"/>
        </w:rPr>
        <w:t>（3）项目施工过程中，建设单位要经常派人进行检查，发现问题要及时要求整改，确保工程质量、确保工程如期顺利完成。</w:t>
      </w:r>
    </w:p>
    <w:p w14:paraId="0D8E07F9">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b w:val="0"/>
          <w:bCs w:val="0"/>
          <w:color w:val="000000"/>
          <w:sz w:val="21"/>
          <w:szCs w:val="21"/>
          <w:lang w:val="en-US" w:eastAsia="zh-CN"/>
        </w:rPr>
      </w:pPr>
      <w:r>
        <w:rPr>
          <w:rFonts w:hint="default" w:ascii="宋体"/>
          <w:b w:val="0"/>
          <w:bCs w:val="0"/>
          <w:color w:val="000000"/>
          <w:sz w:val="21"/>
          <w:szCs w:val="21"/>
          <w:lang w:val="en-US" w:eastAsia="zh-CN"/>
        </w:rPr>
        <w:t>2.2</w:t>
      </w:r>
      <w:r>
        <w:rPr>
          <w:rFonts w:hint="eastAsia" w:ascii="宋体"/>
          <w:b w:val="0"/>
          <w:bCs w:val="0"/>
          <w:color w:val="000000"/>
          <w:sz w:val="21"/>
          <w:szCs w:val="21"/>
          <w:lang w:val="en-US" w:eastAsia="zh-CN"/>
        </w:rPr>
        <w:t>）</w:t>
      </w:r>
      <w:r>
        <w:rPr>
          <w:rFonts w:hint="default" w:ascii="宋体"/>
          <w:b w:val="0"/>
          <w:bCs w:val="0"/>
          <w:color w:val="000000"/>
          <w:sz w:val="21"/>
          <w:szCs w:val="21"/>
          <w:lang w:val="en-US" w:eastAsia="zh-CN"/>
        </w:rPr>
        <w:t>项目验收标准</w:t>
      </w:r>
    </w:p>
    <w:p w14:paraId="024CF0E8">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b w:val="0"/>
          <w:bCs w:val="0"/>
          <w:color w:val="000000"/>
          <w:sz w:val="21"/>
          <w:szCs w:val="21"/>
          <w:lang w:val="en-US" w:eastAsia="zh-CN"/>
        </w:rPr>
      </w:pPr>
      <w:r>
        <w:rPr>
          <w:rFonts w:hint="default" w:ascii="宋体"/>
          <w:b w:val="0"/>
          <w:bCs w:val="0"/>
          <w:color w:val="000000"/>
          <w:sz w:val="21"/>
          <w:szCs w:val="21"/>
          <w:lang w:val="en-US" w:eastAsia="zh-CN"/>
        </w:rPr>
        <w:t>项目建设完成后，由建设单位自查验收，验收合格后报上级林业主管部门核查。建设单位依据有关标准、规定、设计文件等，组织对项目检查验收，检查验收结果作为项目结算依据。检查验收的内容包括核实作业面积、割灌除草、培土、追肥等各项指标完成情况，是否符合作业设计要求，补植后造林成活率是否达到85%以上的标准。</w:t>
      </w:r>
    </w:p>
    <w:p w14:paraId="6D919C07">
      <w:pPr>
        <w:keepNext w:val="0"/>
        <w:keepLines w:val="0"/>
        <w:pageBreakBefore w:val="0"/>
        <w:widowControl/>
        <w:numPr>
          <w:ilvl w:val="0"/>
          <w:numId w:val="2"/>
        </w:numPr>
        <w:kinsoku/>
        <w:wordWrap/>
        <w:overflowPunct/>
        <w:topLinePunct w:val="0"/>
        <w:autoSpaceDE/>
        <w:autoSpaceDN/>
        <w:bidi w:val="0"/>
        <w:adjustRightInd/>
        <w:snapToGrid/>
        <w:spacing w:line="360" w:lineRule="auto"/>
        <w:ind w:firstLine="420" w:firstLineChars="200"/>
        <w:textAlignment w:val="auto"/>
        <w:rPr>
          <w:rFonts w:hint="default" w:ascii="宋体"/>
          <w:b w:val="0"/>
          <w:bCs w:val="0"/>
          <w:color w:val="000000"/>
          <w:sz w:val="21"/>
          <w:szCs w:val="21"/>
          <w:lang w:val="en-US" w:eastAsia="zh-CN"/>
        </w:rPr>
      </w:pPr>
      <w:r>
        <w:rPr>
          <w:rFonts w:hint="default" w:ascii="宋体"/>
          <w:b w:val="0"/>
          <w:bCs w:val="0"/>
          <w:color w:val="000000"/>
          <w:sz w:val="21"/>
          <w:szCs w:val="21"/>
          <w:lang w:val="en-US" w:eastAsia="zh-CN"/>
        </w:rPr>
        <w:t>建设单位要对新造林抚育的成效进行严格检查验收。建设单位对服务单位在建设期间的各项作业随时检查、发现问题要及时纠正。</w:t>
      </w:r>
    </w:p>
    <w:p w14:paraId="09EBA7F3">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b w:val="0"/>
          <w:bCs w:val="0"/>
          <w:color w:val="000000"/>
          <w:sz w:val="21"/>
          <w:szCs w:val="21"/>
          <w:lang w:val="en-US" w:eastAsia="zh-CN"/>
        </w:rPr>
      </w:pPr>
      <w:r>
        <w:rPr>
          <w:rFonts w:hint="eastAsia" w:ascii="宋体"/>
          <w:b w:val="0"/>
          <w:bCs w:val="0"/>
          <w:color w:val="000000"/>
          <w:sz w:val="21"/>
          <w:szCs w:val="21"/>
          <w:lang w:val="en-US" w:eastAsia="zh-CN"/>
        </w:rPr>
        <w:t>（2）</w:t>
      </w:r>
      <w:r>
        <w:rPr>
          <w:rFonts w:hint="default" w:ascii="宋体"/>
          <w:b w:val="0"/>
          <w:bCs w:val="0"/>
          <w:color w:val="000000"/>
          <w:sz w:val="21"/>
          <w:szCs w:val="21"/>
          <w:lang w:val="en-US" w:eastAsia="zh-CN"/>
        </w:rPr>
        <w:t>建设单位应按照批复的项目相关文件和有关合同对项目完成情况验收.项目必须按批复后的项目作业设计建设，经建设单位及具备资质第三方单位验收合格，项目具备竣工验收条件的，应及时编制项目竣工验收报告和财务决算报告。</w:t>
      </w:r>
    </w:p>
    <w:p w14:paraId="6C9FD11B">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b w:val="0"/>
          <w:bCs w:val="0"/>
          <w:color w:val="000000"/>
          <w:sz w:val="21"/>
          <w:szCs w:val="21"/>
          <w:lang w:val="en-US" w:eastAsia="zh-CN"/>
        </w:rPr>
      </w:pPr>
      <w:r>
        <w:rPr>
          <w:rFonts w:hint="default" w:ascii="宋体"/>
          <w:b w:val="0"/>
          <w:bCs w:val="0"/>
          <w:color w:val="000000"/>
          <w:sz w:val="21"/>
          <w:szCs w:val="21"/>
          <w:lang w:val="en-US" w:eastAsia="zh-CN"/>
        </w:rPr>
        <w:t>（3）竣工验收的主要依据是：省下达的任务；林业主管部门批复的项目相关文件；概算调整及其批准文件；采购文件和监理文件（书）；承包合同、项目结算等有关资料；有关的财务核算制度、办法；其他与项目有关的资料。</w:t>
      </w:r>
    </w:p>
    <w:p w14:paraId="62EB3482">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b w:val="0"/>
          <w:bCs w:val="0"/>
          <w:color w:val="000000"/>
          <w:sz w:val="21"/>
          <w:szCs w:val="21"/>
          <w:lang w:val="en-US" w:eastAsia="zh-CN"/>
        </w:rPr>
      </w:pPr>
      <w:r>
        <w:rPr>
          <w:rFonts w:hint="default" w:ascii="宋体"/>
          <w:b w:val="0"/>
          <w:bCs w:val="0"/>
          <w:color w:val="000000"/>
          <w:sz w:val="21"/>
          <w:szCs w:val="21"/>
          <w:lang w:val="en-US" w:eastAsia="zh-CN"/>
        </w:rPr>
        <w:t>（4）有下列情况之一的，不能进行工程竣工验收：</w:t>
      </w:r>
    </w:p>
    <w:p w14:paraId="410DDF09">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b w:val="0"/>
          <w:bCs w:val="0"/>
          <w:color w:val="000000"/>
          <w:sz w:val="21"/>
          <w:szCs w:val="21"/>
          <w:lang w:val="en-US" w:eastAsia="zh-CN"/>
        </w:rPr>
      </w:pPr>
      <w:r>
        <w:rPr>
          <w:rFonts w:hint="default" w:ascii="宋体"/>
          <w:b w:val="0"/>
          <w:bCs w:val="0"/>
          <w:color w:val="000000"/>
          <w:sz w:val="21"/>
          <w:szCs w:val="21"/>
          <w:lang w:val="en-US" w:eastAsia="zh-CN"/>
        </w:rPr>
        <w:t>a.</w:t>
      </w:r>
      <w:r>
        <w:rPr>
          <w:rFonts w:hint="eastAsia" w:ascii="宋体"/>
          <w:b w:val="0"/>
          <w:bCs w:val="0"/>
          <w:color w:val="000000"/>
          <w:sz w:val="21"/>
          <w:szCs w:val="21"/>
          <w:lang w:val="en-US" w:eastAsia="zh-CN"/>
        </w:rPr>
        <w:t>项目</w:t>
      </w:r>
      <w:r>
        <w:rPr>
          <w:rFonts w:hint="default" w:ascii="宋体"/>
          <w:b w:val="0"/>
          <w:bCs w:val="0"/>
          <w:color w:val="000000"/>
          <w:sz w:val="21"/>
          <w:szCs w:val="21"/>
          <w:lang w:val="en-US" w:eastAsia="zh-CN"/>
        </w:rPr>
        <w:t>建设规模和质量达不到批复的项目相关设计文件要求的；</w:t>
      </w:r>
    </w:p>
    <w:p w14:paraId="1736C825">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b w:val="0"/>
          <w:bCs w:val="0"/>
          <w:color w:val="000000"/>
          <w:sz w:val="21"/>
          <w:szCs w:val="21"/>
          <w:lang w:val="en-US" w:eastAsia="zh-CN"/>
        </w:rPr>
      </w:pPr>
      <w:r>
        <w:rPr>
          <w:rFonts w:hint="default" w:ascii="宋体"/>
          <w:b w:val="0"/>
          <w:bCs w:val="0"/>
          <w:color w:val="000000"/>
          <w:sz w:val="21"/>
          <w:szCs w:val="21"/>
          <w:lang w:val="en-US" w:eastAsia="zh-CN"/>
        </w:rPr>
        <w:t>b.未经批准，擅自调整项目建设规模、建设地点和建设内容的；</w:t>
      </w:r>
    </w:p>
    <w:p w14:paraId="08869949">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b w:val="0"/>
          <w:bCs w:val="0"/>
          <w:color w:val="000000"/>
          <w:sz w:val="21"/>
          <w:szCs w:val="21"/>
          <w:lang w:val="en-US" w:eastAsia="zh-CN"/>
        </w:rPr>
      </w:pPr>
      <w:r>
        <w:rPr>
          <w:rFonts w:hint="default" w:ascii="宋体"/>
          <w:b w:val="0"/>
          <w:bCs w:val="0"/>
          <w:color w:val="000000"/>
          <w:sz w:val="21"/>
          <w:szCs w:val="21"/>
          <w:lang w:val="en-US" w:eastAsia="zh-CN"/>
        </w:rPr>
        <w:t>c.财务管理混乱，未按要求做好资金核算，违规使用项目专项资金的；</w:t>
      </w:r>
    </w:p>
    <w:p w14:paraId="68DCB577">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b w:val="0"/>
          <w:bCs w:val="0"/>
          <w:color w:val="000000"/>
          <w:sz w:val="21"/>
          <w:szCs w:val="21"/>
          <w:lang w:val="en-US" w:eastAsia="zh-CN"/>
        </w:rPr>
      </w:pPr>
      <w:r>
        <w:rPr>
          <w:rFonts w:hint="default" w:ascii="宋体"/>
          <w:b w:val="0"/>
          <w:bCs w:val="0"/>
          <w:color w:val="000000"/>
          <w:sz w:val="21"/>
          <w:szCs w:val="21"/>
          <w:lang w:val="en-US" w:eastAsia="zh-CN"/>
        </w:rPr>
        <w:t>d.档案资料不健全的。</w:t>
      </w:r>
    </w:p>
    <w:p w14:paraId="4F332930">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b w:val="0"/>
          <w:bCs w:val="0"/>
          <w:color w:val="000000"/>
          <w:sz w:val="21"/>
          <w:szCs w:val="21"/>
          <w:lang w:val="en-US" w:eastAsia="zh-CN"/>
        </w:rPr>
      </w:pPr>
      <w:r>
        <w:rPr>
          <w:rFonts w:hint="default" w:ascii="宋体"/>
          <w:b w:val="0"/>
          <w:bCs w:val="0"/>
          <w:color w:val="000000"/>
          <w:sz w:val="21"/>
          <w:szCs w:val="21"/>
          <w:lang w:val="en-US" w:eastAsia="zh-CN"/>
        </w:rPr>
        <w:t>3</w:t>
      </w:r>
      <w:r>
        <w:rPr>
          <w:rFonts w:hint="eastAsia" w:ascii="宋体"/>
          <w:b w:val="0"/>
          <w:bCs w:val="0"/>
          <w:color w:val="000000"/>
          <w:sz w:val="21"/>
          <w:szCs w:val="21"/>
          <w:lang w:val="en-US" w:eastAsia="zh-CN"/>
        </w:rPr>
        <w:t>）</w:t>
      </w:r>
      <w:r>
        <w:rPr>
          <w:rFonts w:hint="default" w:ascii="宋体"/>
          <w:b w:val="0"/>
          <w:bCs w:val="0"/>
          <w:color w:val="000000"/>
          <w:sz w:val="21"/>
          <w:szCs w:val="21"/>
          <w:lang w:val="en-US" w:eastAsia="zh-CN"/>
        </w:rPr>
        <w:t>资金管理</w:t>
      </w:r>
    </w:p>
    <w:p w14:paraId="4F3D0A88">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b w:val="0"/>
          <w:bCs w:val="0"/>
          <w:color w:val="000000"/>
          <w:sz w:val="21"/>
          <w:szCs w:val="21"/>
          <w:lang w:val="en-US" w:eastAsia="zh-CN"/>
        </w:rPr>
      </w:pPr>
      <w:r>
        <w:rPr>
          <w:rFonts w:hint="eastAsia" w:ascii="宋体"/>
          <w:b w:val="0"/>
          <w:bCs w:val="0"/>
          <w:color w:val="000000"/>
          <w:sz w:val="21"/>
          <w:szCs w:val="21"/>
          <w:lang w:val="en-US" w:eastAsia="zh-CN"/>
        </w:rPr>
        <w:t>必须严格按照基本建设财务制度单独建账，单独核算，专人负责，专款专用。项目建设单位必须建立和完善会计账册，设立总账和明细账，按照上级林业主管部门批复的建设方案内容项目设置专栏，详细核算项目支出情况，有关会计凭证必须规范。所有开支都必须有合法票据并附有服务合同和项目验收报告以及项目结算单据等。不允许出现白头单和不规范的支出单据。项目结算支付必须按照《现金管理暂行条例》要求执行，不得违规用现金支付项目款。</w:t>
      </w:r>
    </w:p>
    <w:p w14:paraId="33BE0FB7">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b w:val="0"/>
          <w:bCs w:val="0"/>
          <w:color w:val="000000"/>
          <w:sz w:val="21"/>
          <w:szCs w:val="21"/>
          <w:lang w:val="en-US" w:eastAsia="zh-CN"/>
        </w:rPr>
      </w:pPr>
      <w:r>
        <w:rPr>
          <w:rFonts w:hint="eastAsia" w:ascii="宋体"/>
          <w:b w:val="0"/>
          <w:bCs w:val="0"/>
          <w:color w:val="000000"/>
          <w:sz w:val="21"/>
          <w:szCs w:val="21"/>
          <w:lang w:val="en-US" w:eastAsia="zh-CN"/>
        </w:rPr>
        <w:t>4）</w:t>
      </w:r>
      <w:r>
        <w:rPr>
          <w:rFonts w:hint="default" w:ascii="宋体"/>
          <w:b w:val="0"/>
          <w:bCs w:val="0"/>
          <w:color w:val="000000"/>
          <w:sz w:val="21"/>
          <w:szCs w:val="21"/>
          <w:lang w:val="en-US" w:eastAsia="zh-CN"/>
        </w:rPr>
        <w:t>档案管理</w:t>
      </w:r>
    </w:p>
    <w:p w14:paraId="238E9B56">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b w:val="0"/>
          <w:bCs w:val="0"/>
          <w:color w:val="000000"/>
          <w:sz w:val="21"/>
          <w:szCs w:val="21"/>
          <w:lang w:val="en-US" w:eastAsia="zh-CN"/>
        </w:rPr>
      </w:pPr>
      <w:r>
        <w:rPr>
          <w:rFonts w:hint="default" w:ascii="宋体"/>
          <w:b w:val="0"/>
          <w:bCs w:val="0"/>
          <w:color w:val="000000"/>
          <w:sz w:val="21"/>
          <w:szCs w:val="21"/>
          <w:lang w:val="en-US" w:eastAsia="zh-CN"/>
        </w:rPr>
        <w:t>为了完善项目的后续管理，应将项目建设过程中的各类文件归档，建立项目管理的文件档案。包括：</w:t>
      </w:r>
    </w:p>
    <w:p w14:paraId="4B33BEA4">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b w:val="0"/>
          <w:bCs w:val="0"/>
          <w:color w:val="000000"/>
          <w:sz w:val="21"/>
          <w:szCs w:val="21"/>
          <w:lang w:val="en-US" w:eastAsia="zh-CN"/>
        </w:rPr>
      </w:pPr>
      <w:r>
        <w:rPr>
          <w:rFonts w:hint="default" w:ascii="宋体"/>
          <w:b w:val="0"/>
          <w:bCs w:val="0"/>
          <w:color w:val="000000"/>
          <w:sz w:val="21"/>
          <w:szCs w:val="21"/>
          <w:lang w:val="en-US" w:eastAsia="zh-CN"/>
        </w:rPr>
        <w:t>（1）森林质量精准提升工程计划文件、资金下达文件、实施方案、作业设计书、作业设计图、作业设计表、设计变更资料、作业小班矢量化文件。建设过程中各阶段的检查验收资料、小班照片视频等。</w:t>
      </w:r>
    </w:p>
    <w:p w14:paraId="7420EEA3">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b w:val="0"/>
          <w:bCs w:val="0"/>
          <w:color w:val="000000"/>
          <w:sz w:val="21"/>
          <w:szCs w:val="21"/>
          <w:lang w:val="en-US" w:eastAsia="zh-CN"/>
        </w:rPr>
      </w:pPr>
      <w:r>
        <w:rPr>
          <w:rFonts w:hint="default" w:ascii="宋体"/>
          <w:b w:val="0"/>
          <w:bCs w:val="0"/>
          <w:color w:val="000000"/>
          <w:sz w:val="21"/>
          <w:szCs w:val="21"/>
          <w:lang w:val="en-US" w:eastAsia="zh-CN"/>
        </w:rPr>
        <w:t>（2）建设资金筹措和投入、支出等财务档案。</w:t>
      </w:r>
    </w:p>
    <w:p w14:paraId="5DD10279">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b w:val="0"/>
          <w:bCs w:val="0"/>
          <w:color w:val="000000"/>
          <w:sz w:val="21"/>
          <w:szCs w:val="21"/>
          <w:lang w:val="en-US" w:eastAsia="zh-CN"/>
        </w:rPr>
      </w:pPr>
      <w:r>
        <w:rPr>
          <w:rFonts w:hint="default" w:ascii="宋体"/>
          <w:b w:val="0"/>
          <w:bCs w:val="0"/>
          <w:color w:val="000000"/>
          <w:sz w:val="21"/>
          <w:szCs w:val="21"/>
          <w:lang w:val="en-US" w:eastAsia="zh-CN"/>
        </w:rPr>
        <w:t>（3）建设管理附件，如如采购文件、服务合同、监理报告、竣工验收报告、验收统计表、竣工结算资料、种苗“两证一签”，各道工序建设图片、会议纪要、领导巡林等资料和过程音像、图像等进行收集。</w:t>
      </w:r>
    </w:p>
    <w:p w14:paraId="0A6BDA08">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b w:val="0"/>
          <w:bCs w:val="0"/>
          <w:color w:val="000000"/>
          <w:sz w:val="21"/>
          <w:szCs w:val="21"/>
          <w:lang w:val="en-US" w:eastAsia="zh-CN"/>
        </w:rPr>
      </w:pPr>
      <w:r>
        <w:rPr>
          <w:rFonts w:hint="default" w:ascii="宋体"/>
          <w:b w:val="0"/>
          <w:bCs w:val="0"/>
          <w:color w:val="000000"/>
          <w:sz w:val="21"/>
          <w:szCs w:val="21"/>
          <w:lang w:val="en-US" w:eastAsia="zh-CN"/>
        </w:rPr>
        <w:t>（4）项目建设前林地状况、项目实施后抚育管理、幼苗生长情况。</w:t>
      </w:r>
    </w:p>
    <w:p w14:paraId="2F4CD3F3">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b w:val="0"/>
          <w:bCs w:val="0"/>
          <w:color w:val="000000"/>
          <w:sz w:val="21"/>
          <w:szCs w:val="21"/>
          <w:lang w:val="en-US" w:eastAsia="zh-CN"/>
        </w:rPr>
      </w:pPr>
      <w:r>
        <w:rPr>
          <w:rFonts w:hint="default" w:ascii="宋体"/>
          <w:b w:val="0"/>
          <w:bCs w:val="0"/>
          <w:color w:val="000000"/>
          <w:sz w:val="21"/>
          <w:szCs w:val="21"/>
          <w:lang w:val="en-US" w:eastAsia="zh-CN"/>
        </w:rPr>
        <w:t>5、安全生产管理</w:t>
      </w:r>
    </w:p>
    <w:p w14:paraId="79F9B000">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b w:val="0"/>
          <w:bCs w:val="0"/>
          <w:color w:val="000000"/>
          <w:sz w:val="21"/>
          <w:szCs w:val="21"/>
          <w:lang w:val="en-US" w:eastAsia="zh-CN"/>
        </w:rPr>
      </w:pPr>
      <w:r>
        <w:rPr>
          <w:rFonts w:hint="default" w:ascii="宋体"/>
          <w:b w:val="0"/>
          <w:bCs w:val="0"/>
          <w:color w:val="000000"/>
          <w:sz w:val="21"/>
          <w:szCs w:val="21"/>
          <w:lang w:val="en-US" w:eastAsia="zh-CN"/>
        </w:rPr>
        <w:t>（1）做好森林防火工作。要求施工单位加强森林防火宣传，落实防火责任制，增强施工人员森林防火意识，禁止在林内用火，杜绝人为森林火灾的发生。</w:t>
      </w:r>
    </w:p>
    <w:p w14:paraId="22C6CFA5">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b w:val="0"/>
          <w:bCs w:val="0"/>
          <w:color w:val="000000"/>
          <w:sz w:val="21"/>
          <w:szCs w:val="21"/>
          <w:lang w:val="en-US" w:eastAsia="zh-CN"/>
        </w:rPr>
      </w:pPr>
      <w:r>
        <w:rPr>
          <w:rFonts w:hint="default" w:ascii="宋体"/>
          <w:b w:val="0"/>
          <w:bCs w:val="0"/>
          <w:color w:val="000000"/>
          <w:sz w:val="21"/>
          <w:szCs w:val="21"/>
          <w:lang w:val="en-US" w:eastAsia="zh-CN"/>
        </w:rPr>
        <w:t>（2）防止工伤事故发生。作业环境复杂，植被中蛇、虫、蜂较多，部分地段山坡陡峭，泥土疏松或石头较多。要注意防止滑倒，预防蛇、虫、蜂伤人或滚石伤人。需对野外作业人员配备必要的救生、救护设备和工具。</w:t>
      </w:r>
    </w:p>
    <w:p w14:paraId="547A5FCE">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b w:val="0"/>
          <w:bCs w:val="0"/>
          <w:color w:val="000000"/>
          <w:sz w:val="21"/>
          <w:szCs w:val="21"/>
          <w:lang w:val="en-US" w:eastAsia="zh-CN"/>
        </w:rPr>
      </w:pPr>
      <w:r>
        <w:rPr>
          <w:rFonts w:hint="default" w:ascii="宋体"/>
          <w:b w:val="0"/>
          <w:bCs w:val="0"/>
          <w:color w:val="000000"/>
          <w:sz w:val="21"/>
          <w:szCs w:val="21"/>
          <w:lang w:val="en-US" w:eastAsia="zh-CN"/>
        </w:rPr>
        <w:t>（3）严格执行安全操作规程和防治操作技术，严防安全事故发生。机械使用必须严格遵守其使用手册，按照使用方法进行施工作业。</w:t>
      </w:r>
    </w:p>
    <w:p w14:paraId="0D40F40A">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b w:val="0"/>
          <w:bCs w:val="0"/>
          <w:color w:val="000000"/>
          <w:sz w:val="21"/>
          <w:szCs w:val="21"/>
          <w:lang w:val="en-US" w:eastAsia="zh-CN"/>
        </w:rPr>
      </w:pPr>
      <w:r>
        <w:rPr>
          <w:rFonts w:hint="default" w:ascii="宋体"/>
          <w:b w:val="0"/>
          <w:bCs w:val="0"/>
          <w:color w:val="000000"/>
          <w:sz w:val="21"/>
          <w:szCs w:val="21"/>
          <w:lang w:val="en-US" w:eastAsia="zh-CN"/>
        </w:rPr>
        <w:t>（4）施工过程中要有明确施工负责人，施工人员因施工不当造成的损失及安全事故，由施工单位负责。</w:t>
      </w:r>
    </w:p>
    <w:p w14:paraId="14DF336B">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b w:val="0"/>
          <w:bCs w:val="0"/>
          <w:color w:val="000000"/>
          <w:sz w:val="21"/>
          <w:szCs w:val="21"/>
          <w:lang w:val="en-US" w:eastAsia="zh-CN"/>
        </w:rPr>
      </w:pPr>
      <w:bookmarkStart w:id="185" w:name="_Toc21913"/>
      <w:bookmarkStart w:id="186" w:name="_Toc1511"/>
      <w:bookmarkStart w:id="187" w:name="_Toc21528"/>
      <w:bookmarkStart w:id="188" w:name="_Toc7250"/>
      <w:bookmarkStart w:id="189" w:name="_Toc30243"/>
      <w:bookmarkStart w:id="190" w:name="_Toc2888"/>
      <w:bookmarkStart w:id="191" w:name="_Toc2868"/>
      <w:bookmarkStart w:id="192" w:name="_Toc3142"/>
      <w:bookmarkStart w:id="193" w:name="_Toc14567"/>
      <w:r>
        <w:rPr>
          <w:rFonts w:hint="eastAsia" w:ascii="宋体"/>
          <w:b w:val="0"/>
          <w:bCs w:val="0"/>
          <w:color w:val="000000"/>
          <w:sz w:val="21"/>
          <w:szCs w:val="21"/>
          <w:lang w:val="en-US" w:eastAsia="zh-CN"/>
        </w:rPr>
        <w:t>2</w:t>
      </w:r>
      <w:r>
        <w:rPr>
          <w:rFonts w:hint="default" w:ascii="宋体"/>
          <w:b w:val="0"/>
          <w:bCs w:val="0"/>
          <w:color w:val="000000"/>
          <w:sz w:val="21"/>
          <w:szCs w:val="21"/>
          <w:lang w:val="en-US" w:eastAsia="zh-CN"/>
        </w:rPr>
        <w:t>、保障措施</w:t>
      </w:r>
      <w:bookmarkEnd w:id="185"/>
      <w:bookmarkEnd w:id="186"/>
      <w:bookmarkEnd w:id="187"/>
      <w:bookmarkEnd w:id="188"/>
      <w:bookmarkEnd w:id="189"/>
      <w:bookmarkEnd w:id="190"/>
      <w:bookmarkEnd w:id="191"/>
      <w:bookmarkEnd w:id="192"/>
      <w:bookmarkEnd w:id="193"/>
    </w:p>
    <w:p w14:paraId="24E4E35F">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b w:val="0"/>
          <w:bCs w:val="0"/>
          <w:color w:val="000000"/>
          <w:sz w:val="21"/>
          <w:szCs w:val="21"/>
          <w:lang w:val="en-US" w:eastAsia="zh-CN"/>
        </w:rPr>
      </w:pPr>
      <w:r>
        <w:rPr>
          <w:rFonts w:hint="default" w:ascii="宋体"/>
          <w:b w:val="0"/>
          <w:bCs w:val="0"/>
          <w:color w:val="000000"/>
          <w:sz w:val="21"/>
          <w:szCs w:val="21"/>
          <w:lang w:val="en-US" w:eastAsia="zh-CN"/>
        </w:rPr>
        <w:t>组织保障</w:t>
      </w:r>
    </w:p>
    <w:p w14:paraId="590E4E41">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b w:val="0"/>
          <w:bCs w:val="0"/>
          <w:color w:val="000000"/>
          <w:sz w:val="21"/>
          <w:szCs w:val="21"/>
          <w:lang w:val="en-US" w:eastAsia="zh-CN"/>
        </w:rPr>
      </w:pPr>
      <w:r>
        <w:rPr>
          <w:rFonts w:hint="default" w:ascii="宋体"/>
          <w:b w:val="0"/>
          <w:bCs w:val="0"/>
          <w:color w:val="000000"/>
          <w:sz w:val="21"/>
          <w:szCs w:val="21"/>
          <w:lang w:val="en-US" w:eastAsia="zh-CN"/>
        </w:rPr>
        <w:t>1）加强领导，严格管理</w:t>
      </w:r>
    </w:p>
    <w:p w14:paraId="1B5FB5CC">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b w:val="0"/>
          <w:bCs w:val="0"/>
          <w:color w:val="000000"/>
          <w:sz w:val="21"/>
          <w:szCs w:val="21"/>
          <w:lang w:val="en-US" w:eastAsia="zh-CN"/>
        </w:rPr>
      </w:pPr>
      <w:r>
        <w:rPr>
          <w:rFonts w:hint="default" w:ascii="宋体"/>
          <w:b w:val="0"/>
          <w:bCs w:val="0"/>
          <w:color w:val="000000"/>
          <w:sz w:val="21"/>
          <w:szCs w:val="21"/>
          <w:lang w:val="en-US" w:eastAsia="zh-CN"/>
        </w:rPr>
        <w:t>为确保项目的顺利进行，应在广东省林业局和湛江经济开发区规划和自然资源局的指导下，实行项目法人责任制，项目法人对项目的策划、资金筹措、建设实施、生产经营等应按照国家和省的有关规定对项目的建设资金、建设工期、项目质量、安全生产等进行严格管理。</w:t>
      </w:r>
    </w:p>
    <w:p w14:paraId="25A9E7BF">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b w:val="0"/>
          <w:bCs w:val="0"/>
          <w:color w:val="000000"/>
          <w:sz w:val="21"/>
          <w:szCs w:val="21"/>
          <w:lang w:val="en-US" w:eastAsia="zh-CN"/>
        </w:rPr>
      </w:pPr>
      <w:r>
        <w:rPr>
          <w:rFonts w:hint="default" w:ascii="宋体"/>
          <w:b w:val="0"/>
          <w:bCs w:val="0"/>
          <w:color w:val="000000"/>
          <w:sz w:val="21"/>
          <w:szCs w:val="21"/>
          <w:lang w:val="en-US" w:eastAsia="zh-CN"/>
        </w:rPr>
        <w:t>2）落实责任，确保成效</w:t>
      </w:r>
    </w:p>
    <w:p w14:paraId="5ED05C33">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b w:val="0"/>
          <w:bCs w:val="0"/>
          <w:color w:val="000000"/>
          <w:sz w:val="21"/>
          <w:szCs w:val="21"/>
          <w:lang w:val="en-US" w:eastAsia="zh-CN"/>
        </w:rPr>
      </w:pPr>
      <w:r>
        <w:rPr>
          <w:rFonts w:hint="default" w:ascii="宋体"/>
          <w:b w:val="0"/>
          <w:bCs w:val="0"/>
          <w:color w:val="000000"/>
          <w:sz w:val="21"/>
          <w:szCs w:val="21"/>
          <w:lang w:val="en-US" w:eastAsia="zh-CN"/>
        </w:rPr>
        <w:t>项目建设单位应成立项目工作领导小组，对本项目的建设进行全面的监督管理，并解决好实施过程中可能出现的问题，确保项目建设成效。</w:t>
      </w:r>
    </w:p>
    <w:p w14:paraId="1E310184">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b w:val="0"/>
          <w:bCs w:val="0"/>
          <w:color w:val="000000"/>
          <w:sz w:val="21"/>
          <w:szCs w:val="21"/>
          <w:lang w:val="en-US" w:eastAsia="zh-CN"/>
        </w:rPr>
      </w:pPr>
      <w:r>
        <w:rPr>
          <w:rFonts w:hint="default" w:ascii="宋体"/>
          <w:b w:val="0"/>
          <w:bCs w:val="0"/>
          <w:color w:val="000000"/>
          <w:sz w:val="21"/>
          <w:szCs w:val="21"/>
          <w:lang w:val="en-US" w:eastAsia="zh-CN"/>
        </w:rPr>
        <w:t>技术保障</w:t>
      </w:r>
    </w:p>
    <w:p w14:paraId="3FB4068C">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b w:val="0"/>
          <w:bCs w:val="0"/>
          <w:color w:val="000000"/>
          <w:sz w:val="21"/>
          <w:szCs w:val="21"/>
          <w:lang w:val="en-US" w:eastAsia="zh-CN"/>
        </w:rPr>
      </w:pPr>
      <w:r>
        <w:rPr>
          <w:rFonts w:hint="eastAsia" w:ascii="宋体"/>
          <w:b w:val="0"/>
          <w:bCs w:val="0"/>
          <w:color w:val="000000"/>
          <w:sz w:val="21"/>
          <w:szCs w:val="21"/>
          <w:lang w:val="en-US" w:eastAsia="zh-CN"/>
        </w:rPr>
        <w:t>3</w:t>
      </w:r>
      <w:r>
        <w:rPr>
          <w:rFonts w:hint="default" w:ascii="宋体"/>
          <w:b w:val="0"/>
          <w:bCs w:val="0"/>
          <w:color w:val="000000"/>
          <w:sz w:val="21"/>
          <w:szCs w:val="21"/>
          <w:lang w:val="en-US" w:eastAsia="zh-CN"/>
        </w:rPr>
        <w:t>）切实做好作业设计</w:t>
      </w:r>
    </w:p>
    <w:p w14:paraId="7F4CF344">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b w:val="0"/>
          <w:bCs w:val="0"/>
          <w:color w:val="000000"/>
          <w:sz w:val="21"/>
          <w:szCs w:val="21"/>
          <w:lang w:val="en-US" w:eastAsia="zh-CN"/>
        </w:rPr>
      </w:pPr>
      <w:r>
        <w:rPr>
          <w:rFonts w:hint="eastAsia" w:ascii="宋体"/>
          <w:b w:val="0"/>
          <w:bCs w:val="0"/>
          <w:color w:val="000000"/>
          <w:sz w:val="21"/>
          <w:szCs w:val="21"/>
          <w:lang w:val="en-US" w:eastAsia="zh-CN"/>
        </w:rPr>
        <w:t>实施精准提升森林质量是贯彻落实习近平生态文明思想的重要举措，是深入推进绿美广东生态建设的重要内容。对此，各级林业主管部门应高度重视，必须委托有林业调查规划设计资质的单位设计项目作业设计。作业设计未经批准，不得组织建设作业；一经批准，不得随意变更；确需变更的，须按审批程序重新进行审批及备案。</w:t>
      </w:r>
    </w:p>
    <w:p w14:paraId="5230AF74">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b w:val="0"/>
          <w:bCs w:val="0"/>
          <w:color w:val="000000"/>
          <w:sz w:val="21"/>
          <w:szCs w:val="21"/>
          <w:lang w:val="en-US" w:eastAsia="zh-CN"/>
        </w:rPr>
      </w:pPr>
      <w:r>
        <w:rPr>
          <w:rFonts w:hint="eastAsia" w:ascii="宋体"/>
          <w:b w:val="0"/>
          <w:bCs w:val="0"/>
          <w:color w:val="000000"/>
          <w:sz w:val="21"/>
          <w:szCs w:val="21"/>
          <w:lang w:val="en-US" w:eastAsia="zh-CN"/>
        </w:rPr>
        <w:t>4</w:t>
      </w:r>
      <w:r>
        <w:rPr>
          <w:rFonts w:hint="default" w:ascii="宋体"/>
          <w:b w:val="0"/>
          <w:bCs w:val="0"/>
          <w:color w:val="000000"/>
          <w:sz w:val="21"/>
          <w:szCs w:val="21"/>
          <w:lang w:val="en-US" w:eastAsia="zh-CN"/>
        </w:rPr>
        <w:t>）强化技术质量管理</w:t>
      </w:r>
    </w:p>
    <w:p w14:paraId="2A7BD066">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b w:val="0"/>
          <w:bCs w:val="0"/>
          <w:color w:val="000000"/>
          <w:sz w:val="21"/>
          <w:szCs w:val="21"/>
          <w:lang w:val="en-US" w:eastAsia="zh-CN"/>
        </w:rPr>
      </w:pPr>
      <w:r>
        <w:rPr>
          <w:rFonts w:hint="default" w:ascii="宋体"/>
          <w:b w:val="0"/>
          <w:bCs w:val="0"/>
          <w:color w:val="000000"/>
          <w:sz w:val="21"/>
          <w:szCs w:val="21"/>
          <w:lang w:val="en-US" w:eastAsia="zh-CN"/>
        </w:rPr>
        <w:t>要严格按照批准的作业设计组织建设，实行专业技术人员跟班作业，依事定责，做到事前指导、事中检查、事后验收的过程质量管理，对建设质量不合格的，要及时责令返工。</w:t>
      </w:r>
    </w:p>
    <w:p w14:paraId="2961331F">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b w:val="0"/>
          <w:bCs w:val="0"/>
          <w:color w:val="000000"/>
          <w:sz w:val="21"/>
          <w:szCs w:val="21"/>
          <w:lang w:val="en-US" w:eastAsia="zh-CN"/>
        </w:rPr>
      </w:pPr>
      <w:r>
        <w:rPr>
          <w:rFonts w:hint="default" w:ascii="宋体"/>
          <w:b w:val="0"/>
          <w:bCs w:val="0"/>
          <w:color w:val="000000"/>
          <w:sz w:val="21"/>
          <w:szCs w:val="21"/>
          <w:lang w:val="en-US" w:eastAsia="zh-CN"/>
        </w:rPr>
        <w:t>资金保障</w:t>
      </w:r>
    </w:p>
    <w:p w14:paraId="3AEB8609">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b w:val="0"/>
          <w:bCs w:val="0"/>
          <w:color w:val="000000"/>
          <w:sz w:val="21"/>
          <w:szCs w:val="21"/>
          <w:lang w:val="en-US" w:eastAsia="zh-CN"/>
        </w:rPr>
      </w:pPr>
      <w:r>
        <w:rPr>
          <w:rFonts w:hint="eastAsia" w:ascii="宋体"/>
          <w:b w:val="0"/>
          <w:bCs w:val="0"/>
          <w:color w:val="000000"/>
          <w:sz w:val="21"/>
          <w:szCs w:val="21"/>
          <w:lang w:val="en-US" w:eastAsia="zh-CN"/>
        </w:rPr>
        <w:t>5</w:t>
      </w:r>
      <w:r>
        <w:rPr>
          <w:rFonts w:hint="default" w:ascii="宋体"/>
          <w:b w:val="0"/>
          <w:bCs w:val="0"/>
          <w:color w:val="000000"/>
          <w:sz w:val="21"/>
          <w:szCs w:val="21"/>
          <w:lang w:val="en-US" w:eastAsia="zh-CN"/>
        </w:rPr>
        <w:t>）建立与健全财务管理制度</w:t>
      </w:r>
    </w:p>
    <w:p w14:paraId="0EC9701C">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b w:val="0"/>
          <w:bCs w:val="0"/>
          <w:color w:val="000000"/>
          <w:sz w:val="21"/>
          <w:szCs w:val="21"/>
          <w:lang w:val="en-US" w:eastAsia="zh-CN"/>
        </w:rPr>
      </w:pPr>
      <w:r>
        <w:rPr>
          <w:rFonts w:hint="eastAsia" w:ascii="宋体"/>
          <w:b w:val="0"/>
          <w:bCs w:val="0"/>
          <w:color w:val="000000"/>
          <w:sz w:val="21"/>
          <w:szCs w:val="21"/>
          <w:lang w:val="en-US" w:eastAsia="zh-CN"/>
        </w:rPr>
        <w:t>项目单位要严格按照国家规定合理使用资金，要设立资金专户，单独核算，做到专款专用。要设计项目建设进度和财务报表，明晰开支情况。</w:t>
      </w:r>
    </w:p>
    <w:p w14:paraId="6A89389D">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default" w:ascii="宋体"/>
          <w:b w:val="0"/>
          <w:bCs w:val="0"/>
          <w:color w:val="000000"/>
          <w:sz w:val="21"/>
          <w:szCs w:val="21"/>
          <w:lang w:val="en-US" w:eastAsia="zh-CN"/>
        </w:rPr>
      </w:pPr>
      <w:r>
        <w:rPr>
          <w:rFonts w:hint="eastAsia" w:ascii="宋体"/>
          <w:b w:val="0"/>
          <w:bCs w:val="0"/>
          <w:color w:val="000000"/>
          <w:sz w:val="21"/>
          <w:szCs w:val="21"/>
          <w:lang w:val="en-US" w:eastAsia="zh-CN"/>
        </w:rPr>
        <w:t>6</w:t>
      </w:r>
      <w:r>
        <w:rPr>
          <w:rFonts w:hint="default" w:ascii="宋体"/>
          <w:b w:val="0"/>
          <w:bCs w:val="0"/>
          <w:color w:val="000000"/>
          <w:sz w:val="21"/>
          <w:szCs w:val="21"/>
          <w:lang w:val="en-US" w:eastAsia="zh-CN"/>
        </w:rPr>
        <w:t>）实行项目法人负责制</w:t>
      </w:r>
    </w:p>
    <w:p w14:paraId="0A060769">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eastAsia="宋体"/>
          <w:b w:val="0"/>
          <w:bCs w:val="0"/>
          <w:color w:val="000000"/>
          <w:sz w:val="21"/>
          <w:szCs w:val="21"/>
          <w:lang w:val="en-US" w:eastAsia="zh-CN"/>
        </w:rPr>
      </w:pPr>
      <w:r>
        <w:rPr>
          <w:rFonts w:hint="eastAsia" w:ascii="宋体" w:eastAsia="宋体"/>
          <w:b w:val="0"/>
          <w:bCs w:val="0"/>
          <w:color w:val="000000"/>
          <w:sz w:val="21"/>
          <w:szCs w:val="21"/>
          <w:lang w:val="en-US" w:eastAsia="zh-CN"/>
        </w:rPr>
        <w:t>项目法人负责项目的策划、资金筹措、建设实施、生产经营和资产的保值增值，应按照国家和省的有关规定对项目的建设资金、建设工期、项目质量、安全生产等进行严格管理。</w:t>
      </w:r>
    </w:p>
    <w:p w14:paraId="5FE02086">
      <w:pPr>
        <w:keepNext w:val="0"/>
        <w:keepLines w:val="0"/>
        <w:pageBreakBefore w:val="0"/>
        <w:widowControl/>
        <w:numPr>
          <w:ilvl w:val="0"/>
          <w:numId w:val="0"/>
        </w:numPr>
        <w:kinsoku/>
        <w:wordWrap/>
        <w:overflowPunct/>
        <w:topLinePunct w:val="0"/>
        <w:autoSpaceDE/>
        <w:autoSpaceDN/>
        <w:bidi w:val="0"/>
        <w:adjustRightInd/>
        <w:snapToGrid/>
        <w:spacing w:line="360" w:lineRule="auto"/>
        <w:textAlignment w:val="auto"/>
        <w:rPr>
          <w:rFonts w:hint="eastAsia" w:ascii="宋体"/>
          <w:b/>
          <w:bCs/>
          <w:color w:val="000000"/>
          <w:sz w:val="21"/>
          <w:szCs w:val="21"/>
          <w:highlight w:val="none"/>
          <w:lang w:val="en-US" w:eastAsia="zh-CN"/>
        </w:rPr>
      </w:pPr>
      <w:r>
        <w:rPr>
          <w:rFonts w:hint="eastAsia" w:ascii="宋体"/>
          <w:b/>
          <w:bCs/>
          <w:color w:val="000000"/>
          <w:sz w:val="21"/>
          <w:szCs w:val="21"/>
          <w:highlight w:val="none"/>
          <w:lang w:val="en-US" w:eastAsia="zh-CN" w:bidi="ar-SA"/>
        </w:rPr>
        <w:t>十、</w:t>
      </w:r>
      <w:r>
        <w:rPr>
          <w:rFonts w:hint="eastAsia" w:ascii="宋体"/>
          <w:b/>
          <w:bCs/>
          <w:color w:val="000000"/>
          <w:sz w:val="21"/>
          <w:szCs w:val="21"/>
          <w:highlight w:val="none"/>
          <w:lang w:val="en-US" w:eastAsia="zh-CN"/>
        </w:rPr>
        <w:t>付款方式</w:t>
      </w:r>
    </w:p>
    <w:bookmarkEnd w:id="133"/>
    <w:bookmarkEnd w:id="134"/>
    <w:bookmarkEnd w:id="135"/>
    <w:bookmarkEnd w:id="136"/>
    <w:bookmarkEnd w:id="137"/>
    <w:bookmarkEnd w:id="165"/>
    <w:p w14:paraId="28D0A652">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hAnsi="Times New Roman" w:eastAsia="宋体" w:cs="Times New Roman"/>
          <w:b w:val="0"/>
          <w:bCs w:val="0"/>
          <w:color w:val="000000"/>
          <w:sz w:val="21"/>
          <w:szCs w:val="21"/>
          <w:lang w:val="en-US" w:eastAsia="zh-CN"/>
        </w:rPr>
      </w:pPr>
      <w:r>
        <w:rPr>
          <w:rFonts w:hint="eastAsia" w:ascii="宋体" w:hAnsi="Times New Roman" w:eastAsia="宋体" w:cs="Times New Roman"/>
          <w:b w:val="0"/>
          <w:bCs w:val="0"/>
          <w:color w:val="000000"/>
          <w:sz w:val="21"/>
          <w:szCs w:val="21"/>
          <w:lang w:val="en-US" w:eastAsia="zh-CN"/>
        </w:rPr>
        <w:t>由采购人按下列程序付款</w:t>
      </w:r>
    </w:p>
    <w:p w14:paraId="23900428">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hAnsi="Times New Roman" w:eastAsia="宋体" w:cs="Times New Roman"/>
          <w:b w:val="0"/>
          <w:bCs w:val="0"/>
          <w:color w:val="000000"/>
          <w:sz w:val="21"/>
          <w:szCs w:val="21"/>
          <w:lang w:val="en-US" w:eastAsia="zh-CN"/>
        </w:rPr>
      </w:pPr>
      <w:r>
        <w:rPr>
          <w:rFonts w:hint="eastAsia" w:ascii="宋体" w:hAnsi="Times New Roman" w:eastAsia="宋体" w:cs="Times New Roman"/>
          <w:b w:val="0"/>
          <w:bCs w:val="0"/>
          <w:color w:val="000000"/>
          <w:sz w:val="21"/>
          <w:szCs w:val="21"/>
          <w:lang w:val="en-US" w:eastAsia="zh-CN"/>
        </w:rPr>
        <w:t>1.签订合同后5个工作日内支付合同总价的30%作为预付款；项目竣工并经采购人验收合格后，采购人将结算手续报湛江经济技术开发区财政</w:t>
      </w:r>
      <w:r>
        <w:rPr>
          <w:rFonts w:hint="eastAsia" w:ascii="宋体" w:cs="Times New Roman"/>
          <w:b w:val="0"/>
          <w:bCs w:val="0"/>
          <w:color w:val="000000"/>
          <w:sz w:val="21"/>
          <w:szCs w:val="21"/>
          <w:lang w:val="en-US" w:eastAsia="zh-CN"/>
        </w:rPr>
        <w:t>国资</w:t>
      </w:r>
      <w:r>
        <w:rPr>
          <w:rFonts w:hint="eastAsia" w:ascii="宋体" w:hAnsi="Times New Roman" w:eastAsia="宋体" w:cs="Times New Roman"/>
          <w:b w:val="0"/>
          <w:bCs w:val="0"/>
          <w:color w:val="000000"/>
          <w:sz w:val="21"/>
          <w:szCs w:val="21"/>
          <w:lang w:val="en-US" w:eastAsia="zh-CN"/>
        </w:rPr>
        <w:t>局审核，支付至合同总价的65%；项目终期验收（竣工验收后三个月）合格后，支付至合同总价的100%。</w:t>
      </w:r>
    </w:p>
    <w:p w14:paraId="688BFF7E">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hAnsi="Times New Roman" w:eastAsia="宋体" w:cs="Times New Roman"/>
          <w:b w:val="0"/>
          <w:bCs w:val="0"/>
          <w:color w:val="000000"/>
          <w:sz w:val="21"/>
          <w:szCs w:val="21"/>
          <w:lang w:val="en-US" w:eastAsia="zh-CN"/>
        </w:rPr>
      </w:pPr>
      <w:r>
        <w:rPr>
          <w:rFonts w:hint="eastAsia" w:ascii="宋体" w:hAnsi="Times New Roman" w:eastAsia="宋体" w:cs="Times New Roman"/>
          <w:b w:val="0"/>
          <w:bCs w:val="0"/>
          <w:color w:val="000000"/>
          <w:sz w:val="21"/>
          <w:szCs w:val="21"/>
          <w:lang w:val="en-US" w:eastAsia="zh-CN"/>
        </w:rPr>
        <w:t>2.成交供应商按合同（中标）金额的5%向采购人缴纳履约保证金，缴纳时间为中标后5个工作日内。终期验收后，经项目监理单位出具合格证明，采购人15个工作日内退还给中标人履约保证金。</w:t>
      </w:r>
    </w:p>
    <w:p w14:paraId="49F34656">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hAnsi="Times New Roman" w:eastAsia="宋体" w:cs="Times New Roman"/>
          <w:b w:val="0"/>
          <w:bCs w:val="0"/>
          <w:color w:val="000000"/>
          <w:sz w:val="21"/>
          <w:szCs w:val="21"/>
          <w:lang w:val="en-US" w:eastAsia="zh-CN"/>
        </w:rPr>
      </w:pPr>
      <w:r>
        <w:rPr>
          <w:rFonts w:hint="eastAsia" w:ascii="宋体" w:hAnsi="Times New Roman" w:eastAsia="宋体" w:cs="Times New Roman"/>
          <w:b w:val="0"/>
          <w:bCs w:val="0"/>
          <w:color w:val="000000"/>
          <w:sz w:val="21"/>
          <w:szCs w:val="21"/>
          <w:lang w:val="en-US" w:eastAsia="zh-CN"/>
        </w:rPr>
        <w:t>3.项目全部完成后，中标人先结合监理进行全面自查，然后向采购人提交书面验收申请，采购人在10个工作日内组织验收。验收不合格要继续完善，直至验收合格为止。因采购人使用的是财政资金，验收合格后，采购人在15个工作日内将结算手续报湛江经济技术开发区财政</w:t>
      </w:r>
      <w:r>
        <w:rPr>
          <w:rFonts w:hint="eastAsia" w:ascii="宋体" w:cs="Times New Roman"/>
          <w:b w:val="0"/>
          <w:bCs w:val="0"/>
          <w:color w:val="000000"/>
          <w:sz w:val="21"/>
          <w:szCs w:val="21"/>
          <w:lang w:val="en-US" w:eastAsia="zh-CN"/>
        </w:rPr>
        <w:t>国资</w:t>
      </w:r>
      <w:r>
        <w:rPr>
          <w:rFonts w:hint="eastAsia" w:ascii="宋体" w:hAnsi="Times New Roman" w:eastAsia="宋体" w:cs="Times New Roman"/>
          <w:b w:val="0"/>
          <w:bCs w:val="0"/>
          <w:color w:val="000000"/>
          <w:sz w:val="21"/>
          <w:szCs w:val="21"/>
          <w:lang w:val="en-US" w:eastAsia="zh-CN"/>
        </w:rPr>
        <w:t>局审核，具体到账时间以湛江经济技术开发区财政</w:t>
      </w:r>
      <w:r>
        <w:rPr>
          <w:rFonts w:hint="eastAsia" w:ascii="宋体" w:cs="Times New Roman"/>
          <w:b w:val="0"/>
          <w:bCs w:val="0"/>
          <w:color w:val="000000"/>
          <w:sz w:val="21"/>
          <w:szCs w:val="21"/>
          <w:lang w:val="en-US" w:eastAsia="zh-CN"/>
        </w:rPr>
        <w:t>国资</w:t>
      </w:r>
      <w:r>
        <w:rPr>
          <w:rFonts w:hint="eastAsia" w:ascii="宋体" w:hAnsi="Times New Roman" w:eastAsia="宋体" w:cs="Times New Roman"/>
          <w:b w:val="0"/>
          <w:bCs w:val="0"/>
          <w:color w:val="000000"/>
          <w:sz w:val="21"/>
          <w:szCs w:val="21"/>
          <w:lang w:val="en-US" w:eastAsia="zh-CN"/>
        </w:rPr>
        <w:t>局核拨时间为准。</w:t>
      </w:r>
    </w:p>
    <w:p w14:paraId="1EC74C79">
      <w:pPr>
        <w:keepNext w:val="0"/>
        <w:keepLines w:val="0"/>
        <w:pageBreakBefore w:val="0"/>
        <w:widowControl/>
        <w:numPr>
          <w:ilvl w:val="0"/>
          <w:numId w:val="0"/>
        </w:numPr>
        <w:kinsoku/>
        <w:wordWrap/>
        <w:overflowPunct/>
        <w:topLinePunct w:val="0"/>
        <w:autoSpaceDE/>
        <w:autoSpaceDN/>
        <w:bidi w:val="0"/>
        <w:adjustRightInd/>
        <w:snapToGrid/>
        <w:spacing w:line="360" w:lineRule="auto"/>
        <w:textAlignment w:val="auto"/>
        <w:rPr>
          <w:rFonts w:hint="eastAsia" w:ascii="宋体" w:hAnsi="Times New Roman" w:eastAsia="宋体" w:cs="Times New Roman"/>
          <w:b/>
          <w:bCs/>
          <w:color w:val="000000"/>
          <w:sz w:val="21"/>
          <w:szCs w:val="21"/>
          <w:highlight w:val="none"/>
          <w:lang w:val="en-US" w:eastAsia="zh-CN" w:bidi="ar-SA"/>
        </w:rPr>
      </w:pPr>
      <w:r>
        <w:rPr>
          <w:rFonts w:hint="eastAsia" w:ascii="宋体" w:hAnsi="Times New Roman" w:eastAsia="宋体" w:cs="Times New Roman"/>
          <w:b/>
          <w:bCs/>
          <w:color w:val="000000"/>
          <w:sz w:val="21"/>
          <w:szCs w:val="21"/>
          <w:highlight w:val="none"/>
          <w:lang w:val="en-US" w:eastAsia="zh-CN" w:bidi="ar-SA"/>
        </w:rPr>
        <w:t>十一、合同履行期限</w:t>
      </w:r>
    </w:p>
    <w:p w14:paraId="30F3941F">
      <w:pPr>
        <w:pStyle w:val="7"/>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rPr>
        <w:t>合同签订后</w:t>
      </w:r>
      <w:r>
        <w:rPr>
          <w:rFonts w:hint="eastAsia" w:ascii="宋体" w:hAnsi="宋体" w:eastAsia="宋体" w:cs="宋体"/>
          <w:color w:val="000000"/>
          <w:sz w:val="21"/>
          <w:szCs w:val="21"/>
          <w:highlight w:val="none"/>
          <w:lang w:val="en-US" w:eastAsia="zh-CN"/>
        </w:rPr>
        <w:t>30</w:t>
      </w:r>
      <w:r>
        <w:rPr>
          <w:rFonts w:hint="eastAsia" w:ascii="宋体" w:hAnsi="宋体" w:eastAsia="宋体" w:cs="宋体"/>
          <w:color w:val="000000"/>
          <w:sz w:val="21"/>
          <w:szCs w:val="21"/>
          <w:highlight w:val="none"/>
        </w:rPr>
        <w:t>个日历日内完成项目，并通过采购人的验收</w:t>
      </w:r>
      <w:r>
        <w:rPr>
          <w:rFonts w:hint="eastAsia" w:ascii="宋体" w:hAnsi="宋体" w:eastAsia="宋体" w:cs="宋体"/>
          <w:color w:val="000000"/>
          <w:sz w:val="21"/>
          <w:szCs w:val="21"/>
          <w:highlight w:val="none"/>
          <w:lang w:eastAsia="zh-CN"/>
        </w:rPr>
        <w:t>。</w:t>
      </w:r>
    </w:p>
    <w:p w14:paraId="2902B9ED"/>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686AA2">
    <w:r>
      <w:rPr>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59D32FEF">
                          <w:pPr>
                            <w:pStyle w:val="3"/>
                          </w:pPr>
                          <w:r>
                            <w:t xml:space="preserve">第 </w:t>
                          </w:r>
                          <w:r>
                            <w:fldChar w:fldCharType="begin"/>
                          </w:r>
                          <w:r>
                            <w:instrText xml:space="preserve"> PAGE  \* MERGEFORMAT </w:instrText>
                          </w:r>
                          <w:r>
                            <w:fldChar w:fldCharType="separate"/>
                          </w:r>
                          <w:r>
                            <w:t>22</w:t>
                          </w:r>
                          <w:r>
                            <w:fldChar w:fldCharType="end"/>
                          </w:r>
                          <w: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aYJL0wAAAAUBAAAPAAAAAAAAAAEAIAAAACIAAABk&#10;cnMvZG93bnJldi54bWxQSwECFAAUAAAACACHTuJAixWE+tIBAACjAwAADgAAAAAAAAABACAAAAAi&#10;AQAAZHJzL2Uyb0RvYy54bWxQSwUGAAAAAAYABgBZAQAAZgUAAAAA&#10;">
              <v:fill on="f" focussize="0,0"/>
              <v:stroke on="f" weight="1.25pt"/>
              <v:imagedata o:title=""/>
              <o:lock v:ext="edit" aspectratio="f"/>
              <v:textbox inset="0mm,0mm,0mm,0mm" style="mso-fit-shape-to-text:t;">
                <w:txbxContent>
                  <w:p w14:paraId="59D32FEF">
                    <w:pPr>
                      <w:pStyle w:val="3"/>
                    </w:pPr>
                    <w:r>
                      <w:t xml:space="preserve">第 </w:t>
                    </w:r>
                    <w:r>
                      <w:fldChar w:fldCharType="begin"/>
                    </w:r>
                    <w:r>
                      <w:instrText xml:space="preserve"> PAGE  \* MERGEFORMAT </w:instrText>
                    </w:r>
                    <w:r>
                      <w:fldChar w:fldCharType="separate"/>
                    </w:r>
                    <w:r>
                      <w:t>22</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A0E95A">
    <w:pPr>
      <w:rPr>
        <w:rFonts w:hint="eastAsia"/>
      </w:rPr>
    </w:pP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0C5FF65"/>
    <w:multiLevelType w:val="singleLevel"/>
    <w:tmpl w:val="A0C5FF65"/>
    <w:lvl w:ilvl="0" w:tentative="0">
      <w:start w:val="2"/>
      <w:numFmt w:val="decimal"/>
      <w:suff w:val="nothing"/>
      <w:lvlText w:val="%1）"/>
      <w:lvlJc w:val="left"/>
    </w:lvl>
  </w:abstractNum>
  <w:abstractNum w:abstractNumId="1">
    <w:nsid w:val="B4FF7709"/>
    <w:multiLevelType w:val="singleLevel"/>
    <w:tmpl w:val="B4FF7709"/>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FmNmRjZTI2OWI2ZTBmMTA3MGFjOWJhMzAxODY0ODEifQ=="/>
  </w:docVars>
  <w:rsids>
    <w:rsidRoot w:val="2DE2542F"/>
    <w:rsid w:val="018A1427"/>
    <w:rsid w:val="0BCF2858"/>
    <w:rsid w:val="0D38185A"/>
    <w:rsid w:val="13541895"/>
    <w:rsid w:val="16DC0265"/>
    <w:rsid w:val="207A092D"/>
    <w:rsid w:val="24930FCF"/>
    <w:rsid w:val="25A71CF8"/>
    <w:rsid w:val="27F54F9D"/>
    <w:rsid w:val="2DE2542F"/>
    <w:rsid w:val="391B14ED"/>
    <w:rsid w:val="43DD073F"/>
    <w:rsid w:val="521D4F6D"/>
    <w:rsid w:val="5EB54BEA"/>
    <w:rsid w:val="5EE41C5E"/>
    <w:rsid w:val="65CB1251"/>
    <w:rsid w:val="67EE5E00"/>
    <w:rsid w:val="773A78A3"/>
    <w:rsid w:val="78D873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Times New Roman"/>
      <w:sz w:val="21"/>
      <w:lang w:val="en-US" w:eastAsia="zh-CN" w:bidi="ar-SA"/>
    </w:rPr>
  </w:style>
  <w:style w:type="paragraph" w:styleId="2">
    <w:name w:val="heading 2"/>
    <w:basedOn w:val="1"/>
    <w:next w:val="1"/>
    <w:unhideWhenUsed/>
    <w:qFormat/>
    <w:uiPriority w:val="9"/>
    <w:pPr>
      <w:keepNext/>
      <w:keepLines/>
      <w:spacing w:before="260" w:after="260" w:line="416" w:lineRule="auto"/>
      <w:outlineLvl w:val="1"/>
    </w:pPr>
    <w:rPr>
      <w:rFonts w:ascii="Cambria" w:hAnsi="Cambria" w:eastAsia="宋体" w:cs="Times New Roman"/>
      <w:b/>
      <w:bCs/>
      <w:sz w:val="32"/>
      <w:szCs w:val="32"/>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pPr>
    <w:rPr>
      <w:sz w:val="18"/>
      <w:szCs w:val="18"/>
    </w:rPr>
  </w:style>
  <w:style w:type="table" w:styleId="5">
    <w:name w:val="Table Grid"/>
    <w:basedOn w:val="4"/>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
    <w:name w:val="方案"/>
    <w:basedOn w:val="1"/>
    <w:qFormat/>
    <w:uiPriority w:val="0"/>
    <w:pPr>
      <w:autoSpaceDE w:val="0"/>
      <w:autoSpaceDN w:val="0"/>
      <w:spacing w:line="360" w:lineRule="auto"/>
      <w:ind w:firstLine="480" w:firstLineChars="200"/>
    </w:pPr>
    <w:rPr>
      <w:rFonts w:ascii="宋体" w:hAnsi="宋体" w:eastAsia="宋体" w:cs="宋体"/>
      <w:kern w:val="0"/>
      <w:sz w:val="24"/>
      <w:lang w:val="zh-CN" w:bidi="zh-C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7778</Words>
  <Characters>8401</Characters>
  <Lines>0</Lines>
  <Paragraphs>0</Paragraphs>
  <TotalTime>7</TotalTime>
  <ScaleCrop>false</ScaleCrop>
  <LinksUpToDate>false</LinksUpToDate>
  <CharactersWithSpaces>8519</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2024-08-07T07:07:00Z</dcterms:created>
  <dc:creator>WPS_1697512195</dc:creator>
  <cp:lastModifiedBy>hsl</cp:lastModifiedBy>
  <cp:lastPrinted>2026-09-22T07:52:24Z</cp:lastPrinted>
  <dcterms:modified xsi:type="dcterms:W3CDTF">2026-09-22T07:57:01Z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FC6E68860D3E495CA3FCCBA6905356C6_13</vt:lpwstr>
  </property>
  <property fmtid="{D5CDD505-2E9C-101B-9397-08002B2CF9AE}" pid="4" name="KSOTemplateDocerSaveRecord">
    <vt:lpwstr>eyJoZGlkIjoiMjUxNDc3NmI1MzVmN2U3MzlkNDkxZTI1MGNhOWYyZjkiLCJ1c2VySWQiOiI0MDU3MDIwMDUifQ==</vt:lpwstr>
  </property>
</Properties>
</file>